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F8A1">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t>附件1</w:t>
      </w:r>
    </w:p>
    <w:p w14:paraId="2803E51C">
      <w:pPr>
        <w:keepNext w:val="0"/>
        <w:keepLines w:val="0"/>
        <w:widowControl w:val="0"/>
        <w:suppressLineNumbers w:val="0"/>
        <w:suppressAutoHyphens/>
        <w:spacing w:before="0" w:beforeAutospacing="0" w:after="0" w:afterAutospacing="0"/>
        <w:ind w:left="0" w:right="0"/>
        <w:jc w:val="center"/>
        <w:rPr>
          <w:rFonts w:hint="default"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2026年数据安全宣传专项活动开展需求</w:t>
      </w:r>
    </w:p>
    <w:p w14:paraId="04924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为强化数据安全宣传教育，落实数据安全相关责任，提升企业及市直单位数据安全防护意识与合规能力，计划开展三场数据安全系列活动，具体需求如下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652A30E">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center"/>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第一场：4·15国家安全教育日数据安全专题</w:t>
      </w:r>
      <w:r>
        <w:rPr>
          <w:rFonts w:hint="eastAsia" w:ascii="楷体_GB2312" w:hAnsi="楷体_GB2312" w:eastAsia="楷体_GB2312" w:cs="楷体_GB2312"/>
          <w:b/>
          <w:bCs/>
          <w:sz w:val="32"/>
          <w:szCs w:val="32"/>
          <w:lang w:val="en-US" w:eastAsia="zh-CN"/>
        </w:rPr>
        <w:t>宣传</w:t>
      </w:r>
    </w:p>
    <w:p w14:paraId="57068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一、基本信息</w:t>
      </w:r>
    </w:p>
    <w:p w14:paraId="6EAEA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为期</w:t>
      </w:r>
      <w:r>
        <w:rPr>
          <w:rFonts w:hint="eastAsia" w:ascii="仿宋_GB2312" w:hAnsi="仿宋_GB2312" w:eastAsia="仿宋_GB2312" w:cs="仿宋_GB2312"/>
          <w:sz w:val="32"/>
          <w:szCs w:val="32"/>
        </w:rPr>
        <w:t>半天（可根据实际调整）</w:t>
      </w:r>
    </w:p>
    <w:p w14:paraId="02FA3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活动主题：贯彻总体国家安全观，筑牢企业数据安全防线</w:t>
      </w:r>
    </w:p>
    <w:p w14:paraId="4E234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参与对象：全市重点企业50-70家，每家1-2名代表（优先企业负责人、数据安全负责人）</w:t>
      </w:r>
    </w:p>
    <w:p w14:paraId="34EE6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活动场地：</w:t>
      </w:r>
      <w:r>
        <w:rPr>
          <w:rFonts w:hint="eastAsia" w:ascii="仿宋_GB2312" w:hAnsi="仿宋_GB2312" w:eastAsia="仿宋_GB2312" w:cs="仿宋_GB2312"/>
          <w:sz w:val="32"/>
          <w:szCs w:val="32"/>
          <w:lang w:val="en-US" w:eastAsia="zh-CN"/>
        </w:rPr>
        <w:t>由中标单位提供</w:t>
      </w:r>
    </w:p>
    <w:p w14:paraId="24D94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活动形式：以授课、案例分享、座谈交流为主</w:t>
      </w:r>
    </w:p>
    <w:p w14:paraId="42E14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二、活动环节（总时长</w:t>
      </w:r>
      <w:r>
        <w:rPr>
          <w:rFonts w:hint="eastAsia" w:ascii="黑体" w:hAnsi="黑体" w:eastAsia="黑体" w:cs="黑体"/>
          <w:sz w:val="32"/>
          <w:szCs w:val="32"/>
          <w:lang w:val="en-US" w:eastAsia="zh-CN"/>
        </w:rPr>
        <w:t>不少于2</w:t>
      </w:r>
      <w:r>
        <w:rPr>
          <w:rFonts w:hint="eastAsia" w:ascii="黑体" w:hAnsi="黑体" w:eastAsia="黑体" w:cs="黑体"/>
          <w:sz w:val="32"/>
          <w:szCs w:val="32"/>
        </w:rPr>
        <w:t>小时）</w:t>
      </w:r>
    </w:p>
    <w:p w14:paraId="5A48F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数据安全专家现场授课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企业数据安全案例分享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重点企业现场座谈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具体环节可以据实设计调整。</w:t>
      </w:r>
    </w:p>
    <w:p w14:paraId="0B3AF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三、配套需求</w:t>
      </w:r>
    </w:p>
    <w:p w14:paraId="61E9C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嘉宾邀约：负责对接、邀请数据安全专家，筛选并邀约案例分享企业及座谈企业。</w:t>
      </w:r>
    </w:p>
    <w:p w14:paraId="05505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场地配套：确认</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场地的音响、投影、桌椅、签到区等设施，完成简单会场布置（主题背景板、宣传物料摆放）。</w:t>
      </w:r>
    </w:p>
    <w:p w14:paraId="4B7DF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物料与服务：准备活动手册、宣传资料、签到表、饮用水等物料；安排1名主持人，负责活动流程衔接；配备</w:t>
      </w:r>
      <w:r>
        <w:rPr>
          <w:rFonts w:hint="eastAsia" w:ascii="仿宋_GB2312" w:hAnsi="仿宋_GB2312" w:eastAsia="仿宋_GB2312" w:cs="仿宋_GB2312"/>
          <w:sz w:val="32"/>
          <w:szCs w:val="32"/>
          <w:lang w:val="en-US" w:eastAsia="zh-CN"/>
        </w:rPr>
        <w:t>拍照摄影</w:t>
      </w:r>
      <w:r>
        <w:rPr>
          <w:rFonts w:hint="eastAsia" w:ascii="仿宋_GB2312" w:hAnsi="仿宋_GB2312" w:eastAsia="仿宋_GB2312" w:cs="仿宋_GB2312"/>
          <w:sz w:val="32"/>
          <w:szCs w:val="32"/>
        </w:rPr>
        <w:t>人员，记录活动全程。</w:t>
      </w:r>
    </w:p>
    <w:p w14:paraId="1D806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企业邀约：提前通知参与企业，确认参会人数，做好参会登记。</w:t>
      </w:r>
    </w:p>
    <w:p w14:paraId="272C6F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第二场：</w:t>
      </w:r>
      <w:r>
        <w:rPr>
          <w:rFonts w:hint="eastAsia" w:ascii="楷体_GB2312" w:hAnsi="楷体_GB2312" w:eastAsia="楷体_GB2312" w:cs="楷体_GB2312"/>
          <w:b/>
          <w:bCs/>
          <w:sz w:val="32"/>
          <w:szCs w:val="32"/>
          <w:lang w:val="en-US" w:eastAsia="zh-CN"/>
        </w:rPr>
        <w:t>9月</w:t>
      </w:r>
      <w:r>
        <w:rPr>
          <w:rFonts w:hint="eastAsia" w:ascii="楷体_GB2312" w:hAnsi="楷体_GB2312" w:eastAsia="楷体_GB2312" w:cs="楷体_GB2312"/>
          <w:b/>
          <w:bCs/>
          <w:sz w:val="32"/>
          <w:szCs w:val="32"/>
        </w:rPr>
        <w:t>网络安全周全市企业数据安全宣传活动</w:t>
      </w:r>
    </w:p>
    <w:p w14:paraId="385D5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一、基本信息</w:t>
      </w:r>
    </w:p>
    <w:p w14:paraId="71B78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活动时间：2026年9月网络安全周期间，</w:t>
      </w:r>
      <w:r>
        <w:rPr>
          <w:rFonts w:hint="eastAsia" w:ascii="仿宋_GB2312" w:hAnsi="仿宋_GB2312" w:eastAsia="仿宋_GB2312" w:cs="仿宋_GB2312"/>
          <w:sz w:val="32"/>
          <w:szCs w:val="32"/>
          <w:lang w:val="en-US" w:eastAsia="zh-CN"/>
        </w:rPr>
        <w:t>为期</w:t>
      </w:r>
      <w:r>
        <w:rPr>
          <w:rFonts w:hint="eastAsia" w:ascii="仿宋_GB2312" w:hAnsi="仿宋_GB2312" w:eastAsia="仿宋_GB2312" w:cs="仿宋_GB2312"/>
          <w:sz w:val="32"/>
          <w:szCs w:val="32"/>
        </w:rPr>
        <w:t>半天（可根据实际调整，贴合网络安全周整体安排）</w:t>
      </w:r>
    </w:p>
    <w:p w14:paraId="61F4C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活动主题：网络安全为人民，数据安全护发展</w:t>
      </w:r>
      <w:r>
        <w:rPr>
          <w:rFonts w:hint="eastAsia" w:ascii="仿宋_GB2312" w:hAnsi="仿宋_GB2312" w:eastAsia="仿宋_GB2312" w:cs="仿宋_GB2312"/>
          <w:sz w:val="32"/>
          <w:szCs w:val="32"/>
          <w:lang w:eastAsia="zh-CN"/>
        </w:rPr>
        <w:t>（暂定，根据当年主题进行修改）</w:t>
      </w:r>
    </w:p>
    <w:p w14:paraId="0CB22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参与对象：全市各行业企业代表，计划150-200</w:t>
      </w:r>
      <w:r>
        <w:rPr>
          <w:rFonts w:hint="eastAsia" w:ascii="仿宋_GB2312" w:hAnsi="仿宋_GB2312" w:eastAsia="仿宋_GB2312" w:cs="仿宋_GB2312"/>
          <w:sz w:val="32"/>
          <w:szCs w:val="32"/>
          <w:lang w:eastAsia="zh-CN"/>
        </w:rPr>
        <w:t>家</w:t>
      </w:r>
    </w:p>
    <w:p w14:paraId="16374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活动场地：计划租赁</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场地（</w:t>
      </w:r>
      <w:r>
        <w:rPr>
          <w:rFonts w:hint="eastAsia" w:ascii="仿宋_GB2312" w:hAnsi="仿宋_GB2312" w:eastAsia="仿宋_GB2312" w:cs="仿宋_GB2312"/>
          <w:sz w:val="32"/>
          <w:szCs w:val="32"/>
          <w:lang w:val="en-US" w:eastAsia="zh-CN"/>
        </w:rPr>
        <w:t>可按</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rPr>
        <w:t>对接</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，确认场地可用性、租赁费用、容纳人数及设施配套，确保满足大型活动需求）</w:t>
      </w:r>
    </w:p>
    <w:p w14:paraId="24197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活动形式：线下大型宣传宣讲活动，环节丰富多样，注重互动性和宣传效果</w:t>
      </w:r>
    </w:p>
    <w:p w14:paraId="26CEC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二、活动环节（</w:t>
      </w:r>
      <w:r>
        <w:rPr>
          <w:rFonts w:hint="eastAsia" w:ascii="黑体" w:hAnsi="黑体" w:eastAsia="黑体" w:cs="黑体"/>
          <w:sz w:val="32"/>
          <w:szCs w:val="32"/>
          <w:lang w:val="en-US" w:eastAsia="zh-CN"/>
        </w:rPr>
        <w:t>暂定，需</w:t>
      </w:r>
      <w:r>
        <w:rPr>
          <w:rFonts w:hint="eastAsia" w:ascii="黑体" w:hAnsi="黑体" w:eastAsia="黑体" w:cs="黑体"/>
          <w:sz w:val="32"/>
          <w:szCs w:val="32"/>
        </w:rPr>
        <w:t>丰富化设计，总时长</w:t>
      </w:r>
      <w:r>
        <w:rPr>
          <w:rFonts w:hint="eastAsia" w:ascii="黑体" w:hAnsi="黑体" w:eastAsia="黑体" w:cs="黑体"/>
          <w:sz w:val="32"/>
          <w:szCs w:val="32"/>
          <w:lang w:val="en-US" w:eastAsia="zh-CN"/>
        </w:rPr>
        <w:t>不少于</w:t>
      </w:r>
      <w:r>
        <w:rPr>
          <w:rFonts w:hint="eastAsia" w:ascii="黑体" w:hAnsi="黑体" w:eastAsia="黑体" w:cs="黑体"/>
          <w:sz w:val="32"/>
          <w:szCs w:val="32"/>
        </w:rPr>
        <w:t>3小时）</w:t>
      </w:r>
    </w:p>
    <w:p w14:paraId="155F3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开场</w:t>
      </w:r>
      <w:r>
        <w:rPr>
          <w:rFonts w:hint="eastAsia" w:ascii="仿宋_GB2312" w:hAnsi="仿宋_GB2312" w:eastAsia="仿宋_GB2312" w:cs="仿宋_GB2312"/>
          <w:sz w:val="32"/>
          <w:szCs w:val="32"/>
          <w:lang w:val="en-US" w:eastAsia="zh-CN"/>
        </w:rPr>
        <w:t>致辞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标杆企业分享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数据安全知识互动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数据安全服务展示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总结倡议</w:t>
      </w:r>
      <w:r>
        <w:rPr>
          <w:rFonts w:hint="eastAsia" w:ascii="仿宋_GB2312" w:hAnsi="仿宋_GB2312" w:eastAsia="仿宋_GB2312" w:cs="仿宋_GB2312"/>
          <w:sz w:val="32"/>
          <w:szCs w:val="32"/>
          <w:lang w:val="en-US" w:eastAsia="zh-CN"/>
        </w:rPr>
        <w:t>等，具体环节可以据实设计调整。</w:t>
      </w:r>
    </w:p>
    <w:p w14:paraId="5D66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三、配套需求</w:t>
      </w:r>
    </w:p>
    <w:p w14:paraId="48816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场地对接：负责联系</w:t>
      </w:r>
      <w:r>
        <w:rPr>
          <w:rFonts w:hint="eastAsia" w:ascii="仿宋_GB2312" w:hAnsi="仿宋_GB2312" w:eastAsia="仿宋_GB2312" w:cs="仿宋_GB2312"/>
          <w:sz w:val="32"/>
          <w:szCs w:val="32"/>
          <w:lang w:eastAsia="zh-CN"/>
        </w:rPr>
        <w:t>活动场地</w:t>
      </w:r>
      <w:r>
        <w:rPr>
          <w:rFonts w:hint="eastAsia" w:ascii="仿宋_GB2312" w:hAnsi="仿宋_GB2312" w:eastAsia="仿宋_GB2312" w:cs="仿宋_GB2312"/>
          <w:sz w:val="32"/>
          <w:szCs w:val="32"/>
        </w:rPr>
        <w:t>，洽谈场地租赁事宜，确认场地费用、设施配套（音响、</w:t>
      </w:r>
      <w:r>
        <w:rPr>
          <w:rFonts w:hint="eastAsia" w:ascii="仿宋_GB2312" w:hAnsi="仿宋_GB2312" w:eastAsia="仿宋_GB2312" w:cs="仿宋_GB2312"/>
          <w:sz w:val="32"/>
          <w:szCs w:val="32"/>
          <w:lang w:eastAsia="zh-CN"/>
        </w:rPr>
        <w:t>展</w:t>
      </w:r>
      <w:r>
        <w:rPr>
          <w:rFonts w:hint="eastAsia" w:ascii="仿宋_GB2312" w:hAnsi="仿宋_GB2312" w:eastAsia="仿宋_GB2312" w:cs="仿宋_GB2312"/>
          <w:sz w:val="32"/>
          <w:szCs w:val="32"/>
        </w:rPr>
        <w:t>屏、投影、桌椅等），完成会场布置（主题背景板、宣传横幅、互动区域设置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4AB38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企业邀约：负责对接企业，可结合</w:t>
      </w:r>
      <w:r>
        <w:rPr>
          <w:rFonts w:hint="eastAsia" w:ascii="仿宋_GB2312" w:hAnsi="仿宋_GB2312" w:eastAsia="仿宋_GB2312" w:cs="仿宋_GB2312"/>
          <w:sz w:val="32"/>
          <w:szCs w:val="32"/>
          <w:lang w:val="en-US" w:eastAsia="zh-CN"/>
        </w:rPr>
        <w:t>数据局</w:t>
      </w:r>
      <w:r>
        <w:rPr>
          <w:rFonts w:hint="eastAsia" w:ascii="仿宋_GB2312" w:hAnsi="仿宋_GB2312" w:eastAsia="仿宋_GB2312" w:cs="仿宋_GB2312"/>
          <w:sz w:val="32"/>
          <w:szCs w:val="32"/>
        </w:rPr>
        <w:t>提供的部分企业名单，扩大邀约范围，覆盖全市各行业企业，确认参会人数，做好参会登记和通知工作。</w:t>
      </w:r>
    </w:p>
    <w:p w14:paraId="36158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人员配备：安排1名专业主持人，负责活动流程衔接、互动引导；配备2名及以上</w:t>
      </w:r>
      <w:r>
        <w:rPr>
          <w:rFonts w:hint="eastAsia" w:ascii="仿宋_GB2312" w:hAnsi="仿宋_GB2312" w:eastAsia="仿宋_GB2312" w:cs="仿宋_GB2312"/>
          <w:sz w:val="32"/>
          <w:szCs w:val="32"/>
          <w:lang w:val="en-US" w:eastAsia="zh-CN"/>
        </w:rPr>
        <w:t>场务，辅助协调现场事务；安排1名</w:t>
      </w:r>
      <w:r>
        <w:rPr>
          <w:rFonts w:hint="eastAsia" w:ascii="仿宋_GB2312" w:hAnsi="仿宋_GB2312" w:eastAsia="仿宋_GB2312" w:cs="仿宋_GB2312"/>
          <w:sz w:val="32"/>
          <w:szCs w:val="32"/>
        </w:rPr>
        <w:t>摄影人员，全程拍照、录像，记录活动精彩瞬间，用于后续宣传。</w:t>
      </w:r>
    </w:p>
    <w:p w14:paraId="08E6A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物料与互动：准备活动手册、宣传海报、数据安全知识手册、互动礼品、签名墙、饮用水等物料；设计互动环节题目，确保互动有序开展。</w:t>
      </w:r>
    </w:p>
    <w:p w14:paraId="7AE59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嘉宾邀约：对接主管部门领导、数据安全专家、标杆企业代表，确认出席情况，做好接待安排。</w:t>
      </w:r>
    </w:p>
    <w:p w14:paraId="78487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第三场：</w:t>
      </w:r>
      <w:r>
        <w:rPr>
          <w:rFonts w:hint="eastAsia" w:ascii="楷体_GB2312" w:hAnsi="楷体_GB2312" w:eastAsia="楷体_GB2312" w:cs="楷体_GB2312"/>
          <w:b/>
          <w:bCs/>
          <w:sz w:val="32"/>
          <w:szCs w:val="32"/>
          <w:lang w:val="en-US" w:eastAsia="zh-CN"/>
        </w:rPr>
        <w:t>2026年</w:t>
      </w:r>
      <w:r>
        <w:rPr>
          <w:rFonts w:hint="eastAsia" w:ascii="楷体_GB2312" w:hAnsi="楷体_GB2312" w:eastAsia="楷体_GB2312" w:cs="楷体_GB2312"/>
          <w:b/>
          <w:bCs/>
          <w:sz w:val="32"/>
          <w:szCs w:val="32"/>
        </w:rPr>
        <w:t>市直单位数据安全宣传培训活动</w:t>
      </w:r>
    </w:p>
    <w:p w14:paraId="29774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一、基本信息</w:t>
      </w:r>
    </w:p>
    <w:p w14:paraId="1F870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2026年10-11月</w:t>
      </w:r>
      <w:r>
        <w:rPr>
          <w:rFonts w:hint="eastAsia" w:ascii="仿宋_GB2312" w:hAnsi="仿宋_GB2312" w:eastAsia="仿宋_GB2312" w:cs="仿宋_GB2312"/>
          <w:sz w:val="32"/>
          <w:szCs w:val="32"/>
          <w:lang w:val="en-US" w:eastAsia="zh-CN"/>
        </w:rPr>
        <w:t>之间</w:t>
      </w:r>
      <w:r>
        <w:rPr>
          <w:rFonts w:hint="eastAsia" w:ascii="仿宋_GB2312" w:hAnsi="仿宋_GB2312" w:eastAsia="仿宋_GB2312" w:cs="仿宋_GB2312"/>
          <w:sz w:val="32"/>
          <w:szCs w:val="32"/>
        </w:rPr>
        <w:t>（可结合市直单位工作安排调整），</w:t>
      </w:r>
      <w:r>
        <w:rPr>
          <w:rFonts w:hint="eastAsia" w:ascii="仿宋_GB2312" w:hAnsi="仿宋_GB2312" w:eastAsia="仿宋_GB2312" w:cs="仿宋_GB2312"/>
          <w:sz w:val="32"/>
          <w:szCs w:val="32"/>
          <w:lang w:val="en-US" w:eastAsia="zh-CN"/>
        </w:rPr>
        <w:t>为期</w:t>
      </w:r>
      <w:r>
        <w:rPr>
          <w:rFonts w:hint="eastAsia" w:ascii="仿宋_GB2312" w:hAnsi="仿宋_GB2312" w:eastAsia="仿宋_GB2312" w:cs="仿宋_GB2312"/>
          <w:sz w:val="32"/>
          <w:szCs w:val="32"/>
        </w:rPr>
        <w:t>半天</w:t>
      </w:r>
    </w:p>
    <w:p w14:paraId="757C7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活动主题：强化数据安全意识，规范数据管理行为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暂定</w:t>
      </w:r>
      <w:r>
        <w:rPr>
          <w:rFonts w:hint="eastAsia" w:ascii="仿宋_GB2312" w:hAnsi="仿宋_GB2312" w:eastAsia="仿宋_GB2312" w:cs="仿宋_GB2312"/>
          <w:sz w:val="32"/>
          <w:szCs w:val="32"/>
          <w:lang w:eastAsia="zh-CN"/>
        </w:rPr>
        <w:t>）</w:t>
      </w:r>
    </w:p>
    <w:p w14:paraId="60C2B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参与对象：各市直单位相关负责人、数据管理员及业务骨干（人数根据单位报名情况确定</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100人以上</w:t>
      </w:r>
      <w:r>
        <w:rPr>
          <w:rFonts w:hint="eastAsia" w:ascii="仿宋_GB2312" w:hAnsi="仿宋_GB2312" w:eastAsia="仿宋_GB2312" w:cs="仿宋_GB2312"/>
          <w:sz w:val="32"/>
          <w:szCs w:val="32"/>
        </w:rPr>
        <w:t>）</w:t>
      </w:r>
    </w:p>
    <w:p w14:paraId="16AE7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活动场地：无需租赁场地，利用</w:t>
      </w:r>
      <w:r>
        <w:rPr>
          <w:rFonts w:hint="eastAsia" w:ascii="仿宋_GB2312" w:hAnsi="仿宋_GB2312" w:eastAsia="仿宋_GB2312" w:cs="仿宋_GB2312"/>
          <w:sz w:val="32"/>
          <w:szCs w:val="32"/>
          <w:lang w:val="en-US" w:eastAsia="zh-CN"/>
        </w:rPr>
        <w:t>市数据局</w:t>
      </w:r>
      <w:r>
        <w:rPr>
          <w:rFonts w:hint="eastAsia" w:ascii="仿宋_GB2312" w:hAnsi="仿宋_GB2312" w:eastAsia="仿宋_GB2312" w:cs="仿宋_GB2312"/>
          <w:sz w:val="32"/>
          <w:szCs w:val="32"/>
        </w:rPr>
        <w:t>现有会议室（需确认会议室容纳人数、音响、</w:t>
      </w:r>
      <w:r>
        <w:rPr>
          <w:rFonts w:hint="eastAsia" w:ascii="仿宋_GB2312" w:hAnsi="仿宋_GB2312" w:eastAsia="仿宋_GB2312" w:cs="仿宋_GB2312"/>
          <w:sz w:val="32"/>
          <w:szCs w:val="32"/>
          <w:lang w:val="en-US" w:eastAsia="zh-CN"/>
        </w:rPr>
        <w:t>屏幕</w:t>
      </w:r>
      <w:r>
        <w:rPr>
          <w:rFonts w:hint="eastAsia" w:ascii="仿宋_GB2312" w:hAnsi="仿宋_GB2312" w:eastAsia="仿宋_GB2312" w:cs="仿宋_GB2312"/>
          <w:sz w:val="32"/>
          <w:szCs w:val="32"/>
        </w:rPr>
        <w:t>等设施配</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w:t>
      </w:r>
    </w:p>
    <w:p w14:paraId="259B4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活动形式：线下专题培训，以专家授课为主，流程简洁高效</w:t>
      </w:r>
    </w:p>
    <w:p w14:paraId="2AD88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二、活动环节（1个核心环节，总时长</w:t>
      </w:r>
      <w:r>
        <w:rPr>
          <w:rFonts w:hint="eastAsia" w:ascii="方正黑体_GBK" w:hAnsi="方正黑体_GBK" w:eastAsia="方正黑体_GBK" w:cs="方正黑体_GBK"/>
          <w:sz w:val="32"/>
          <w:szCs w:val="32"/>
          <w:lang w:val="en-US" w:eastAsia="zh-CN"/>
        </w:rPr>
        <w:t>不少于</w:t>
      </w:r>
      <w:r>
        <w:rPr>
          <w:rFonts w:hint="eastAsia" w:ascii="方正黑体_GBK" w:hAnsi="方正黑体_GBK" w:eastAsia="方正黑体_GBK" w:cs="方正黑体_GBK"/>
          <w:sz w:val="32"/>
          <w:szCs w:val="32"/>
        </w:rPr>
        <w:t>2小时）</w:t>
      </w:r>
    </w:p>
    <w:p w14:paraId="4FAD2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数据安全专家授课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答疑环节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具体环节可以据实设计调整。</w:t>
      </w:r>
    </w:p>
    <w:p w14:paraId="71E48B3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三、配套需求</w:t>
      </w:r>
    </w:p>
    <w:p w14:paraId="0FA38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嘉宾邀约：负责对接、邀请数据安全专家，结合市直单位需求，确定授课内容，提前沟通授课重点。</w:t>
      </w:r>
    </w:p>
    <w:p w14:paraId="154A1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场地协调：</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现有会议室使用事宜，检查会议室音响、投影等设施，确保正常使用。</w:t>
      </w:r>
    </w:p>
    <w:p w14:paraId="70396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物料与服务：准备培训资料、签到表等物料；安排1名工作人员负责签到、流程衔接，无需专业主持人。</w:t>
      </w:r>
      <w:r>
        <w:rPr>
          <w:rFonts w:hint="eastAsia" w:ascii="仿宋_GB2312" w:hAnsi="仿宋_GB2312" w:eastAsia="仿宋_GB2312" w:cs="仿宋_GB2312"/>
          <w:sz w:val="32"/>
          <w:szCs w:val="32"/>
          <w:lang w:val="en-US" w:eastAsia="zh-CN"/>
        </w:rPr>
        <w:t>安排1名工作人员协助场务。无须准备茶水，有物业服务人员提供，协助准备简单点心茶歇。</w:t>
      </w:r>
    </w:p>
    <w:p w14:paraId="33C10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通知对接：协助通知各市直单位报名参会，确认参会人数，做好参会安排。</w:t>
      </w:r>
    </w:p>
    <w:p w14:paraId="75D109AB">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br w:type="page"/>
      </w: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t>附件2</w:t>
      </w:r>
    </w:p>
    <w:p w14:paraId="4E20755A">
      <w:pPr>
        <w:widowControl w:val="0"/>
        <w:spacing w:before="50" w:beforeLines="50" w:after="50" w:afterLines="50" w:line="360" w:lineRule="auto"/>
        <w:ind w:left="0" w:leftChars="0" w:firstLine="0" w:firstLineChars="0"/>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综合比对评分细则</w:t>
      </w: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40"/>
        <w:gridCol w:w="4887"/>
        <w:gridCol w:w="1492"/>
      </w:tblGrid>
      <w:tr w14:paraId="0BCB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trPr>
        <w:tc>
          <w:tcPr>
            <w:tcW w:w="466" w:type="pct"/>
            <w:noWrap w:val="0"/>
            <w:vAlign w:val="center"/>
          </w:tcPr>
          <w:p w14:paraId="47864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序号</w:t>
            </w:r>
          </w:p>
        </w:tc>
        <w:tc>
          <w:tcPr>
            <w:tcW w:w="787" w:type="pct"/>
            <w:noWrap w:val="0"/>
            <w:vAlign w:val="center"/>
          </w:tcPr>
          <w:p w14:paraId="439D4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考核内容</w:t>
            </w:r>
          </w:p>
        </w:tc>
        <w:tc>
          <w:tcPr>
            <w:tcW w:w="2869" w:type="pct"/>
            <w:noWrap w:val="0"/>
            <w:vAlign w:val="center"/>
          </w:tcPr>
          <w:p w14:paraId="5E59B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评分标准</w:t>
            </w:r>
          </w:p>
        </w:tc>
        <w:tc>
          <w:tcPr>
            <w:tcW w:w="876" w:type="pct"/>
            <w:noWrap w:val="0"/>
            <w:vAlign w:val="center"/>
          </w:tcPr>
          <w:p w14:paraId="6397F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sz w:val="28"/>
                <w:szCs w:val="28"/>
                <w:vertAlign w:val="baseli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总分</w:t>
            </w:r>
          </w:p>
        </w:tc>
      </w:tr>
      <w:tr w14:paraId="4618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466" w:type="pct"/>
            <w:noWrap w:val="0"/>
            <w:vAlign w:val="center"/>
          </w:tcPr>
          <w:p w14:paraId="3B11B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787" w:type="pct"/>
            <w:noWrap w:val="0"/>
            <w:vAlign w:val="center"/>
          </w:tcPr>
          <w:p w14:paraId="009C9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策划方案</w:t>
            </w:r>
          </w:p>
        </w:tc>
        <w:tc>
          <w:tcPr>
            <w:tcW w:w="2869" w:type="pct"/>
            <w:noWrap w:val="0"/>
            <w:vAlign w:val="center"/>
          </w:tcPr>
          <w:p w14:paraId="3EE7F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方案内容应包含但不限于宣传主题、活动形式、实施流程、时间计划、组织安排、风险管控等，应贴合企业数据安全宣传场景。方案针对性和完整性强得25-30分；方案针对性一般、内容较完整得15-20分；方案缺乏针对性，内容不完整得0-10分。</w:t>
            </w:r>
          </w:p>
        </w:tc>
        <w:tc>
          <w:tcPr>
            <w:tcW w:w="876" w:type="pct"/>
            <w:noWrap w:val="0"/>
            <w:vAlign w:val="center"/>
          </w:tcPr>
          <w:p w14:paraId="7FD9A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30分</w:t>
            </w:r>
          </w:p>
        </w:tc>
      </w:tr>
      <w:tr w14:paraId="6579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66" w:type="pct"/>
            <w:noWrap w:val="0"/>
            <w:vAlign w:val="center"/>
          </w:tcPr>
          <w:p w14:paraId="01239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787" w:type="pct"/>
            <w:noWrap w:val="0"/>
            <w:vAlign w:val="center"/>
          </w:tcPr>
          <w:p w14:paraId="7D26D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团队配置</w:t>
            </w:r>
          </w:p>
        </w:tc>
        <w:tc>
          <w:tcPr>
            <w:tcW w:w="2869" w:type="pct"/>
            <w:noWrap w:val="0"/>
            <w:vAlign w:val="center"/>
          </w:tcPr>
          <w:p w14:paraId="38F034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项目负责人具备安全宣传、普法宣讲、文案策划相关从业经验，有同类项目管理经验得10分；</w:t>
            </w:r>
          </w:p>
          <w:p w14:paraId="098AE9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配备文案设计、新媒体制作、现场执行、宣讲讲师等专人，团队架构完整、分工明确得10分；</w:t>
            </w:r>
          </w:p>
        </w:tc>
        <w:tc>
          <w:tcPr>
            <w:tcW w:w="876" w:type="pct"/>
            <w:noWrap w:val="0"/>
            <w:vAlign w:val="center"/>
          </w:tcPr>
          <w:p w14:paraId="466C0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20分</w:t>
            </w:r>
          </w:p>
        </w:tc>
      </w:tr>
      <w:tr w14:paraId="268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6" w:type="pct"/>
            <w:noWrap w:val="0"/>
            <w:vAlign w:val="center"/>
          </w:tcPr>
          <w:p w14:paraId="6FE974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787" w:type="pct"/>
            <w:noWrap w:val="0"/>
            <w:vAlign w:val="center"/>
          </w:tcPr>
          <w:p w14:paraId="16723E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类似业绩</w:t>
            </w:r>
          </w:p>
        </w:tc>
        <w:tc>
          <w:tcPr>
            <w:tcW w:w="2869" w:type="pct"/>
            <w:noWrap w:val="0"/>
            <w:vAlign w:val="center"/>
          </w:tcPr>
          <w:p w14:paraId="312B58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default" w:ascii="方正仿宋_GBK" w:hAnsi="方正仿宋_GBK" w:eastAsia="方正仿宋_GBK" w:cs="方正仿宋_GBK"/>
                <w:i w:val="0"/>
                <w:color w:val="000000"/>
                <w:kern w:val="0"/>
                <w:sz w:val="28"/>
                <w:szCs w:val="28"/>
                <w:u w:val="none"/>
                <w:lang w:val="en-US" w:eastAsia="zh-CN" w:bidi="ar"/>
              </w:rPr>
              <w:t>自2023年以来，每举办1场数据领域相关宣传活动或参与相关项目，并能提供有效证明材料的，按实际举办场次或参与项目数量累计计分，单场活动或项目最高计3分，总分不超过20分。评分标准以活动规模、参与范围、实施效果等可量化指标为依据，不区分举办或参与活动的行政区域层级。</w:t>
            </w:r>
          </w:p>
        </w:tc>
        <w:tc>
          <w:tcPr>
            <w:tcW w:w="876" w:type="pct"/>
            <w:noWrap w:val="0"/>
            <w:vAlign w:val="center"/>
          </w:tcPr>
          <w:p w14:paraId="0DEBA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20分</w:t>
            </w:r>
          </w:p>
        </w:tc>
      </w:tr>
      <w:tr w14:paraId="2F0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466" w:type="pct"/>
            <w:noWrap w:val="0"/>
            <w:vAlign w:val="center"/>
          </w:tcPr>
          <w:p w14:paraId="3D59B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787" w:type="pct"/>
            <w:noWrap w:val="0"/>
            <w:vAlign w:val="center"/>
          </w:tcPr>
          <w:p w14:paraId="7E5BE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项目报价</w:t>
            </w:r>
          </w:p>
        </w:tc>
        <w:tc>
          <w:tcPr>
            <w:tcW w:w="2869" w:type="pct"/>
            <w:noWrap w:val="0"/>
            <w:vAlign w:val="center"/>
          </w:tcPr>
          <w:p w14:paraId="634577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最低的投标报价为评标基准价，其价格分为满分30分。其他投标人的价格分按照下列公式计算：报价得分=(评标基准价/投标报价)×30分。</w:t>
            </w:r>
          </w:p>
        </w:tc>
        <w:tc>
          <w:tcPr>
            <w:tcW w:w="876" w:type="pct"/>
            <w:noWrap w:val="0"/>
            <w:vAlign w:val="center"/>
          </w:tcPr>
          <w:p w14:paraId="78E71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kern w:val="0"/>
                <w:sz w:val="28"/>
                <w:szCs w:val="28"/>
                <w:u w:val="none"/>
                <w:lang w:val="en-US" w:eastAsia="zh-CN" w:bidi="ar"/>
              </w:rPr>
              <w:t>30分</w:t>
            </w:r>
          </w:p>
        </w:tc>
      </w:tr>
      <w:tr w14:paraId="2BDA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pct"/>
            <w:gridSpan w:val="3"/>
            <w:noWrap w:val="0"/>
            <w:vAlign w:val="top"/>
          </w:tcPr>
          <w:p w14:paraId="1BDC7316">
            <w:pPr>
              <w:keepNext w:val="0"/>
              <w:keepLines w:val="0"/>
              <w:pageBreakBefore w:val="0"/>
              <w:widowControl w:val="0"/>
              <w:kinsoku/>
              <w:wordWrap/>
              <w:overflowPunct/>
              <w:topLinePunct w:val="0"/>
              <w:autoSpaceDE/>
              <w:autoSpaceDN/>
              <w:bidi w:val="0"/>
              <w:adjustRightInd/>
              <w:snapToGrid/>
              <w:spacing w:before="50" w:beforeLines="50" w:after="50" w:afterLines="50" w:line="320" w:lineRule="exact"/>
              <w:ind w:firstLine="560" w:firstLineChars="200"/>
              <w:jc w:val="center"/>
              <w:rPr>
                <w:rFonts w:hint="eastAsia" w:ascii="方正仿宋_GBK" w:hAnsi="方正仿宋_GBK" w:eastAsia="方正仿宋_GBK" w:cs="方正仿宋_GBK"/>
                <w:color w:val="000000"/>
                <w:kern w:val="2"/>
                <w:sz w:val="28"/>
                <w:szCs w:val="28"/>
                <w:vertAlign w:val="baseline"/>
                <w:lang w:val="en-US" w:eastAsia="zh-CN" w:bidi="ar-SA"/>
              </w:rPr>
            </w:pPr>
            <w:r>
              <w:rPr>
                <w:rFonts w:hint="eastAsia" w:ascii="方正仿宋_GBK" w:hAnsi="方正仿宋_GBK" w:eastAsia="方正仿宋_GBK" w:cs="方正仿宋_GBK"/>
                <w:color w:val="000000"/>
                <w:kern w:val="2"/>
                <w:sz w:val="28"/>
                <w:szCs w:val="28"/>
                <w:vertAlign w:val="baseline"/>
                <w:lang w:val="en-US" w:eastAsia="zh-CN" w:bidi="ar-SA"/>
              </w:rPr>
              <w:t>合计</w:t>
            </w:r>
          </w:p>
        </w:tc>
        <w:tc>
          <w:tcPr>
            <w:tcW w:w="876" w:type="pct"/>
            <w:noWrap w:val="0"/>
            <w:vAlign w:val="top"/>
          </w:tcPr>
          <w:p w14:paraId="6D6D4492">
            <w:pPr>
              <w:keepNext w:val="0"/>
              <w:keepLines w:val="0"/>
              <w:pageBreakBefore w:val="0"/>
              <w:widowControl w:val="0"/>
              <w:kinsoku/>
              <w:wordWrap/>
              <w:overflowPunct/>
              <w:topLinePunct w:val="0"/>
              <w:autoSpaceDE/>
              <w:autoSpaceDN/>
              <w:bidi w:val="0"/>
              <w:adjustRightInd/>
              <w:snapToGrid/>
              <w:spacing w:before="50" w:beforeLines="50" w:after="50" w:afterLines="50" w:line="320" w:lineRule="exact"/>
              <w:ind w:left="0" w:leftChars="0" w:firstLine="0" w:firstLineChars="0"/>
              <w:jc w:val="center"/>
              <w:rPr>
                <w:rFonts w:hint="eastAsia" w:ascii="方正仿宋_GBK" w:hAnsi="方正仿宋_GBK" w:eastAsia="方正仿宋_GBK" w:cs="方正仿宋_GBK"/>
                <w:color w:val="000000"/>
                <w:kern w:val="2"/>
                <w:sz w:val="28"/>
                <w:szCs w:val="28"/>
                <w:vertAlign w:val="baseline"/>
                <w:lang w:val="en-US" w:eastAsia="zh-CN" w:bidi="ar-SA"/>
              </w:rPr>
            </w:pPr>
            <w:r>
              <w:rPr>
                <w:rFonts w:hint="eastAsia" w:ascii="方正仿宋_GBK" w:hAnsi="方正仿宋_GBK" w:eastAsia="方正仿宋_GBK" w:cs="方正仿宋_GBK"/>
                <w:color w:val="000000"/>
                <w:kern w:val="2"/>
                <w:sz w:val="28"/>
                <w:szCs w:val="28"/>
                <w:vertAlign w:val="baseline"/>
                <w:lang w:val="en-US" w:eastAsia="zh-CN" w:bidi="ar-SA"/>
              </w:rPr>
              <w:t>100分</w:t>
            </w:r>
          </w:p>
        </w:tc>
      </w:tr>
    </w:tbl>
    <w:p w14:paraId="7E884D21">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p>
    <w:p w14:paraId="2CA630A6">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br w:type="page"/>
      </w:r>
    </w:p>
    <w:p w14:paraId="1D6DD975">
      <w:pP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color="auto" w:fill="FFFFFF"/>
          <w:lang w:val="en-US" w:eastAsia="zh-CN" w:bidi="ar"/>
        </w:rPr>
        <w:t>附件3</w:t>
      </w:r>
    </w:p>
    <w:p w14:paraId="63FE081C">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采购项目报价单</w:t>
      </w:r>
    </w:p>
    <w:tbl>
      <w:tblPr>
        <w:tblStyle w:val="4"/>
        <w:tblW w:w="51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1320"/>
        <w:gridCol w:w="3051"/>
        <w:gridCol w:w="1208"/>
        <w:gridCol w:w="1240"/>
        <w:gridCol w:w="993"/>
      </w:tblGrid>
      <w:tr w14:paraId="2FD3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E28456E">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采购单位：</w:t>
            </w:r>
            <w:r>
              <w:rPr>
                <w:rStyle w:val="7"/>
                <w:rFonts w:hAnsi="方正黑体_GBK"/>
                <w:color w:val="000000"/>
                <w:sz w:val="24"/>
                <w:szCs w:val="24"/>
                <w:lang w:val="en-US" w:eastAsia="zh-CN" w:bidi="ar"/>
              </w:rPr>
              <w:t>武汉市数据局</w:t>
            </w:r>
          </w:p>
        </w:tc>
      </w:tr>
      <w:tr w14:paraId="3B24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FAD2E8F">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采购</w:t>
            </w:r>
          </w:p>
          <w:p w14:paraId="2F68524F">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需求</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0181823">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198A78B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项目内容</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FC7C42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交付形式</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ECDA7B6">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交付时间</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A0EF8E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5F79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1"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72CCE">
            <w:pPr>
              <w:jc w:val="center"/>
              <w:rPr>
                <w:rFonts w:hint="eastAsia" w:ascii="方正黑体_GBK" w:hAnsi="方正黑体_GBK" w:eastAsia="方正黑体_GBK" w:cs="方正黑体_GBK"/>
                <w:i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FCF65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r>
              <w:rPr>
                <w:rFonts w:hint="eastAsia" w:ascii="仿宋_GB2312" w:hAnsi="仿宋_GB2312" w:eastAsia="仿宋_GB2312" w:cs="仿宋_GB2312"/>
                <w:color w:val="000000"/>
                <w:sz w:val="24"/>
                <w:szCs w:val="24"/>
                <w:lang w:val="en-US" w:eastAsia="zh-CN"/>
              </w:rPr>
              <w:t>2026年数据安全宣传专项活动</w:t>
            </w:r>
          </w:p>
        </w:tc>
        <w:tc>
          <w:tcPr>
            <w:tcW w:w="1739" w:type="pct"/>
            <w:tcBorders>
              <w:top w:val="single" w:color="000000" w:sz="4" w:space="0"/>
              <w:left w:val="single" w:color="000000" w:sz="4" w:space="0"/>
              <w:bottom w:val="single" w:color="000000" w:sz="4" w:space="0"/>
              <w:right w:val="single" w:color="000000" w:sz="4" w:space="0"/>
            </w:tcBorders>
            <w:noWrap w:val="0"/>
            <w:vAlign w:val="center"/>
          </w:tcPr>
          <w:p w14:paraId="03779B21">
            <w:pPr>
              <w:pStyle w:val="8"/>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举办面向企业数据安全宣传专项活动2场，面向市直单位数据安全宣传专项活动1场，共计3场活动，宣传触达目标客户群体共计不少于200家单位、企业或机构。</w:t>
            </w:r>
          </w:p>
          <w:p w14:paraId="2F8527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78C74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i w:val="0"/>
                <w:color w:val="000000"/>
                <w:sz w:val="24"/>
                <w:szCs w:val="24"/>
                <w:u w:val="none"/>
                <w:lang w:val="en-US"/>
              </w:rPr>
            </w:pPr>
            <w:r>
              <w:rPr>
                <w:rFonts w:hint="default" w:ascii="仿宋_GB2312" w:hAnsi="仿宋_GB2312" w:eastAsia="仿宋_GB2312" w:cs="仿宋_GB2312"/>
                <w:color w:val="000000"/>
                <w:sz w:val="24"/>
                <w:szCs w:val="24"/>
                <w:lang w:val="en-US" w:eastAsia="zh-CN"/>
              </w:rPr>
              <w:t>举办活动</w:t>
            </w:r>
            <w:r>
              <w:rPr>
                <w:rFonts w:hint="eastAsia" w:ascii="仿宋_GB2312" w:hAnsi="仿宋_GB2312" w:eastAsia="仿宋_GB2312" w:cs="仿宋_GB2312"/>
                <w:color w:val="000000"/>
                <w:sz w:val="24"/>
                <w:szCs w:val="24"/>
                <w:lang w:val="en-US" w:eastAsia="zh-CN"/>
              </w:rPr>
              <w:t>的相关</w:t>
            </w:r>
            <w:r>
              <w:rPr>
                <w:rFonts w:hint="default" w:ascii="仿宋_GB2312" w:hAnsi="仿宋_GB2312" w:eastAsia="仿宋_GB2312" w:cs="仿宋_GB2312"/>
                <w:color w:val="000000"/>
                <w:sz w:val="24"/>
                <w:szCs w:val="24"/>
                <w:lang w:val="en-US" w:eastAsia="zh-CN"/>
              </w:rPr>
              <w:t>证明材料；</w:t>
            </w:r>
            <w:r>
              <w:rPr>
                <w:rFonts w:hint="eastAsia" w:ascii="仿宋_GB2312" w:hAnsi="仿宋_GB2312" w:eastAsia="仿宋_GB2312" w:cs="仿宋_GB2312"/>
                <w:color w:val="000000"/>
                <w:sz w:val="24"/>
                <w:szCs w:val="24"/>
                <w:lang w:val="en-US" w:eastAsia="zh-CN"/>
              </w:rPr>
              <w:t>宣传触达</w:t>
            </w:r>
            <w:r>
              <w:rPr>
                <w:rFonts w:hint="default" w:ascii="仿宋_GB2312" w:hAnsi="仿宋_GB2312" w:eastAsia="仿宋_GB2312" w:cs="仿宋_GB2312"/>
                <w:color w:val="000000"/>
                <w:sz w:val="24"/>
                <w:szCs w:val="24"/>
                <w:lang w:val="en-US" w:eastAsia="zh-CN"/>
              </w:rPr>
              <w:t>不少于</w:t>
            </w:r>
            <w:r>
              <w:rPr>
                <w:rFonts w:hint="eastAsia" w:ascii="仿宋_GB2312" w:hAnsi="仿宋_GB2312" w:eastAsia="仿宋_GB2312" w:cs="仿宋_GB2312"/>
                <w:color w:val="000000"/>
                <w:sz w:val="24"/>
                <w:szCs w:val="24"/>
                <w:lang w:val="en-US" w:eastAsia="zh-CN"/>
              </w:rPr>
              <w:t>2</w:t>
            </w:r>
            <w:r>
              <w:rPr>
                <w:rFonts w:hint="default" w:ascii="仿宋_GB2312" w:hAnsi="仿宋_GB2312" w:eastAsia="仿宋_GB2312" w:cs="仿宋_GB2312"/>
                <w:color w:val="000000"/>
                <w:sz w:val="24"/>
                <w:szCs w:val="24"/>
                <w:lang w:val="en-US" w:eastAsia="zh-CN"/>
              </w:rPr>
              <w:t>00家</w:t>
            </w:r>
            <w:r>
              <w:rPr>
                <w:rFonts w:hint="eastAsia" w:ascii="仿宋_GB2312" w:hAnsi="仿宋_GB2312" w:eastAsia="仿宋_GB2312" w:cs="仿宋_GB2312"/>
                <w:color w:val="000000"/>
                <w:sz w:val="24"/>
                <w:szCs w:val="24"/>
                <w:lang w:val="en-US" w:eastAsia="zh-CN"/>
              </w:rPr>
              <w:t>单位、</w:t>
            </w:r>
            <w:r>
              <w:rPr>
                <w:rFonts w:hint="default" w:ascii="仿宋_GB2312" w:hAnsi="仿宋_GB2312" w:eastAsia="仿宋_GB2312" w:cs="仿宋_GB2312"/>
                <w:color w:val="000000"/>
                <w:sz w:val="24"/>
                <w:szCs w:val="24"/>
                <w:lang w:val="en-US" w:eastAsia="zh-CN"/>
              </w:rPr>
              <w:t>企业或机构</w:t>
            </w:r>
            <w:r>
              <w:rPr>
                <w:rFonts w:hint="eastAsia" w:ascii="仿宋_GB2312" w:hAnsi="仿宋_GB2312" w:eastAsia="仿宋_GB2312" w:cs="仿宋_GB2312"/>
                <w:color w:val="000000"/>
                <w:sz w:val="24"/>
                <w:szCs w:val="24"/>
                <w:lang w:val="en-US" w:eastAsia="zh-CN"/>
              </w:rPr>
              <w:t>的证明。</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60816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24"/>
                <w:szCs w:val="24"/>
                <w:u w:val="none"/>
              </w:rPr>
            </w:pPr>
            <w:r>
              <w:rPr>
                <w:rFonts w:hint="default" w:ascii="仿宋_GB2312" w:hAnsi="仿宋_GB2312" w:eastAsia="仿宋_GB2312" w:cs="仿宋_GB2312"/>
                <w:color w:val="000000"/>
                <w:sz w:val="24"/>
                <w:szCs w:val="24"/>
                <w:lang w:val="en-US" w:eastAsia="zh-CN"/>
              </w:rPr>
              <w:t>202</w:t>
            </w:r>
            <w:r>
              <w:rPr>
                <w:rFonts w:hint="eastAsia" w:ascii="仿宋_GB2312" w:hAnsi="仿宋_GB2312" w:eastAsia="仿宋_GB2312" w:cs="仿宋_GB2312"/>
                <w:color w:val="000000"/>
                <w:sz w:val="24"/>
                <w:szCs w:val="24"/>
                <w:lang w:val="en-US" w:eastAsia="zh-CN"/>
              </w:rPr>
              <w:t>6年11月30日</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7791718">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据实提交，应交尽交</w:t>
            </w:r>
          </w:p>
        </w:tc>
      </w:tr>
      <w:tr w14:paraId="1D03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9D798E">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供应商回复</w:t>
            </w:r>
          </w:p>
        </w:tc>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3467BE0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服务内容</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7E3414E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采购明细</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263D9D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报价</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0998B26C">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交付时间</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0BC66C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309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B4E3C">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1A230FD">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1764392E">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F32E2B2">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B87934D">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933AAE8">
            <w:pPr>
              <w:rPr>
                <w:rFonts w:hint="eastAsia" w:ascii="宋体" w:hAnsi="宋体" w:eastAsia="宋体" w:cs="宋体"/>
                <w:i w:val="0"/>
                <w:color w:val="000000"/>
                <w:sz w:val="24"/>
                <w:szCs w:val="24"/>
                <w:u w:val="none"/>
              </w:rPr>
            </w:pPr>
          </w:p>
        </w:tc>
      </w:tr>
      <w:tr w14:paraId="6280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F5DD9">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54CAA37">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31DB441A">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FB3FA63">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6F4C0074">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6EE0E11">
            <w:pPr>
              <w:rPr>
                <w:rFonts w:hint="eastAsia" w:ascii="宋体" w:hAnsi="宋体" w:eastAsia="宋体" w:cs="宋体"/>
                <w:i w:val="0"/>
                <w:color w:val="000000"/>
                <w:sz w:val="24"/>
                <w:szCs w:val="24"/>
                <w:u w:val="none"/>
              </w:rPr>
            </w:pPr>
          </w:p>
        </w:tc>
      </w:tr>
      <w:tr w14:paraId="1725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A7A5C">
            <w:pPr>
              <w:jc w:val="center"/>
              <w:rPr>
                <w:rFonts w:hint="eastAsia" w:ascii="方正黑体_GBK" w:hAnsi="方正黑体_GBK" w:eastAsia="方正黑体_GBK" w:cs="方正黑体_GBK"/>
                <w:i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AFCAFD4">
            <w:pPr>
              <w:jc w:val="center"/>
              <w:rPr>
                <w:rFonts w:hint="eastAsia" w:ascii="方正黑体_GBK" w:hAnsi="方正黑体_GBK" w:eastAsia="方正黑体_GBK" w:cs="方正黑体_GBK"/>
                <w:i w:val="0"/>
                <w:color w:val="000000"/>
                <w:sz w:val="24"/>
                <w:szCs w:val="24"/>
                <w:u w:val="none"/>
              </w:rPr>
            </w:pP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27CF8EFC">
            <w:pPr>
              <w:rPr>
                <w:rFonts w:hint="eastAsia" w:ascii="宋体" w:hAnsi="宋体" w:eastAsia="宋体" w:cs="宋体"/>
                <w:i w:val="0"/>
                <w:color w:val="000000"/>
                <w:sz w:val="24"/>
                <w:szCs w:val="24"/>
                <w:u w:val="none"/>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32F8BC73">
            <w:pPr>
              <w:rPr>
                <w:rFonts w:hint="eastAsia" w:ascii="宋体" w:hAnsi="宋体" w:eastAsia="宋体" w:cs="宋体"/>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53A4ACF1">
            <w:pPr>
              <w:rPr>
                <w:rFonts w:hint="eastAsia" w:ascii="宋体" w:hAnsi="宋体" w:eastAsia="宋体" w:cs="宋体"/>
                <w:i w:val="0"/>
                <w:color w:val="000000"/>
                <w:sz w:val="24"/>
                <w:szCs w:val="24"/>
                <w:u w:val="none"/>
              </w:rPr>
            </w:pP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5BA50F5">
            <w:pPr>
              <w:rPr>
                <w:rFonts w:hint="eastAsia" w:ascii="宋体" w:hAnsi="宋体" w:eastAsia="宋体" w:cs="宋体"/>
                <w:i w:val="0"/>
                <w:color w:val="000000"/>
                <w:sz w:val="24"/>
                <w:szCs w:val="24"/>
                <w:u w:val="none"/>
              </w:rPr>
            </w:pPr>
          </w:p>
        </w:tc>
      </w:tr>
      <w:tr w14:paraId="56D6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3EF6E">
            <w:pPr>
              <w:jc w:val="center"/>
              <w:rPr>
                <w:rFonts w:hint="eastAsia" w:ascii="方正黑体_GBK" w:hAnsi="方正黑体_GBK" w:eastAsia="方正黑体_GBK" w:cs="方正黑体_GBK"/>
                <w:i w:val="0"/>
                <w:color w:val="000000"/>
                <w:sz w:val="24"/>
                <w:szCs w:val="24"/>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1E5B64A">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报价</w:t>
            </w:r>
          </w:p>
          <w:p w14:paraId="57F77CB0">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总金额</w:t>
            </w:r>
          </w:p>
        </w:tc>
        <w:tc>
          <w:tcPr>
            <w:tcW w:w="1739" w:type="pct"/>
            <w:tcBorders>
              <w:top w:val="single" w:color="000000" w:sz="4" w:space="0"/>
              <w:left w:val="single" w:color="000000" w:sz="4" w:space="0"/>
              <w:bottom w:val="single" w:color="000000" w:sz="4" w:space="0"/>
              <w:right w:val="single" w:color="000000" w:sz="4" w:space="0"/>
            </w:tcBorders>
            <w:noWrap/>
            <w:vAlign w:val="center"/>
          </w:tcPr>
          <w:p w14:paraId="4DAA0A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5AF088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r>
      <w:tr w14:paraId="0E55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2BD57B53">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供应商名称（盖章）：</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6A3A5B4A">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联系人：</w:t>
            </w:r>
          </w:p>
        </w:tc>
      </w:tr>
      <w:tr w14:paraId="7B5E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2CD3E6EA">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报价时间：</w:t>
            </w:r>
          </w:p>
        </w:tc>
        <w:tc>
          <w:tcPr>
            <w:tcW w:w="1962" w:type="pct"/>
            <w:gridSpan w:val="3"/>
            <w:tcBorders>
              <w:top w:val="single" w:color="000000" w:sz="4" w:space="0"/>
              <w:left w:val="single" w:color="000000" w:sz="4" w:space="0"/>
              <w:bottom w:val="single" w:color="000000" w:sz="4" w:space="0"/>
              <w:right w:val="single" w:color="000000" w:sz="4" w:space="0"/>
            </w:tcBorders>
            <w:noWrap/>
            <w:vAlign w:val="center"/>
          </w:tcPr>
          <w:p w14:paraId="68BFD56E">
            <w:pPr>
              <w:keepNext w:val="0"/>
              <w:keepLines w:val="0"/>
              <w:widowControl/>
              <w:suppressLineNumbers w:val="0"/>
              <w:jc w:val="left"/>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联系电话：</w:t>
            </w:r>
          </w:p>
        </w:tc>
      </w:tr>
    </w:tbl>
    <w:p w14:paraId="7CBF41F4">
      <w:pPr>
        <w:keepNext w:val="0"/>
        <w:keepLines w:val="0"/>
        <w:pageBreakBefore w:val="0"/>
        <w:widowControl w:val="0"/>
        <w:kinsoku/>
        <w:overflowPunct/>
        <w:topLinePunct w:val="0"/>
        <w:autoSpaceDE w:val="0"/>
        <w:autoSpaceDN w:val="0"/>
        <w:bidi w:val="0"/>
        <w:adjustRightInd/>
        <w:snapToGrid/>
        <w:spacing w:line="480" w:lineRule="exact"/>
        <w:ind w:left="0" w:leftChars="0"/>
        <w:jc w:val="center"/>
        <w:textAlignment w:val="auto"/>
      </w:pPr>
    </w:p>
    <w:p w14:paraId="33720E99">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zh-CN" w:bidi="zh-CN"/>
        </w:rPr>
      </w:pPr>
    </w:p>
    <w:p w14:paraId="7447053B">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zh-CN" w:bidi="zh-CN"/>
        </w:rPr>
      </w:pPr>
    </w:p>
    <w:p w14:paraId="69315B03">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zh-CN" w:bidi="zh-CN"/>
        </w:rPr>
      </w:pPr>
    </w:p>
    <w:p w14:paraId="21574DCB">
      <w:pPr>
        <w:keepNext w:val="0"/>
        <w:keepLines w:val="0"/>
        <w:pageBreakBefore w:val="0"/>
        <w:widowControl/>
        <w:kinsoku/>
        <w:overflowPunct/>
        <w:topLinePunct w:val="0"/>
        <w:autoSpaceDE w:val="0"/>
        <w:autoSpaceDN w:val="0"/>
        <w:bidi w:val="0"/>
        <w:adjustRightInd/>
        <w:snapToGrid/>
        <w:spacing w:line="520" w:lineRule="exact"/>
        <w:jc w:val="left"/>
        <w:textAlignment w:val="auto"/>
        <w:rPr>
          <w:rFonts w:hint="eastAsia" w:ascii="方正黑体_GBK" w:hAnsi="方正黑体_GBK" w:eastAsia="方正黑体_GBK" w:cs="方正黑体_GBK"/>
          <w:color w:val="000000"/>
          <w:kern w:val="0"/>
          <w:sz w:val="32"/>
          <w:szCs w:val="32"/>
          <w:lang w:val="en-US" w:bidi="zh-CN"/>
        </w:rPr>
      </w:pPr>
      <w:bookmarkStart w:id="0" w:name="_GoBack"/>
      <w:bookmarkEnd w:id="0"/>
      <w:r>
        <w:rPr>
          <w:rFonts w:hint="eastAsia" w:ascii="方正黑体_GBK" w:hAnsi="方正黑体_GBK" w:eastAsia="方正黑体_GBK" w:cs="方正黑体_GBK"/>
          <w:color w:val="000000"/>
          <w:kern w:val="0"/>
          <w:sz w:val="32"/>
          <w:szCs w:val="32"/>
          <w:lang w:val="zh-CN" w:bidi="zh-CN"/>
        </w:rPr>
        <w:t>附件</w:t>
      </w:r>
      <w:r>
        <w:rPr>
          <w:rFonts w:hint="eastAsia" w:ascii="方正黑体_GBK" w:hAnsi="方正黑体_GBK" w:eastAsia="方正黑体_GBK" w:cs="方正黑体_GBK"/>
          <w:color w:val="000000"/>
          <w:kern w:val="0"/>
          <w:sz w:val="32"/>
          <w:szCs w:val="32"/>
          <w:lang w:val="en-US" w:bidi="zh-CN"/>
        </w:rPr>
        <w:t>4</w:t>
      </w:r>
    </w:p>
    <w:p w14:paraId="3A83B6F4">
      <w:pPr>
        <w:keepNext w:val="0"/>
        <w:keepLines w:val="0"/>
        <w:pageBreakBefore w:val="0"/>
        <w:widowControl/>
        <w:kinsoku/>
        <w:overflowPunct/>
        <w:topLinePunct w:val="0"/>
        <w:autoSpaceDE w:val="0"/>
        <w:autoSpaceDN w:val="0"/>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zh-CN" w:bidi="zh-CN"/>
        </w:rPr>
      </w:pPr>
      <w:r>
        <w:rPr>
          <w:rFonts w:hint="eastAsia" w:ascii="方正小标宋简体" w:hAnsi="方正小标宋简体" w:eastAsia="方正小标宋简体" w:cs="方正小标宋简体"/>
          <w:color w:val="000000"/>
          <w:kern w:val="0"/>
          <w:sz w:val="44"/>
          <w:szCs w:val="44"/>
          <w:lang w:val="zh-CN" w:bidi="zh-CN"/>
        </w:rPr>
        <w:t>承诺书</w:t>
      </w:r>
    </w:p>
    <w:p w14:paraId="646AFB45">
      <w:pPr>
        <w:keepNext w:val="0"/>
        <w:keepLines w:val="0"/>
        <w:pageBreakBefore w:val="0"/>
        <w:kinsoku/>
        <w:overflowPunct/>
        <w:topLinePunct w:val="0"/>
        <w:autoSpaceDE w:val="0"/>
        <w:autoSpaceDN w:val="0"/>
        <w:bidi w:val="0"/>
        <w:adjustRightInd/>
        <w:snapToGrid/>
        <w:spacing w:line="520" w:lineRule="exact"/>
        <w:textAlignment w:val="auto"/>
        <w:rPr>
          <w:rFonts w:ascii="Times New Roman" w:hAnsi="Times New Roman" w:eastAsia="仿宋_GB2312"/>
          <w:b/>
          <w:bCs/>
          <w:color w:val="000000"/>
          <w:kern w:val="0"/>
          <w:sz w:val="32"/>
          <w:szCs w:val="32"/>
          <w:lang w:val="zh-CN" w:bidi="zh-CN"/>
        </w:rPr>
      </w:pPr>
    </w:p>
    <w:p w14:paraId="43BBEAA3">
      <w:pPr>
        <w:keepNext w:val="0"/>
        <w:keepLines w:val="0"/>
        <w:pageBreakBefore w:val="0"/>
        <w:widowControl w:val="0"/>
        <w:kinsoku/>
        <w:overflowPunct/>
        <w:topLinePunct w:val="0"/>
        <w:autoSpaceDE w:val="0"/>
        <w:autoSpaceDN w:val="0"/>
        <w:bidi w:val="0"/>
        <w:adjustRightInd/>
        <w:snapToGrid/>
        <w:spacing w:line="480" w:lineRule="exact"/>
        <w:ind w:left="0" w:leftChars="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14:paraId="0A804B27">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p>
    <w:p w14:paraId="70BBB4EF">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我单位对你单位发来的《关于2026年数据安全宣传专项活动</w:t>
      </w:r>
      <w:r>
        <w:rPr>
          <w:rFonts w:hint="eastAsia" w:ascii="仿宋_GB2312" w:hAnsi="仿宋_GB2312" w:eastAsia="仿宋_GB2312" w:cs="仿宋_GB2312"/>
          <w:color w:val="000000"/>
          <w:kern w:val="0"/>
          <w:sz w:val="32"/>
          <w:szCs w:val="32"/>
          <w:lang w:val="en-US" w:eastAsia="zh-CN" w:bidi="zh-CN"/>
        </w:rPr>
        <w:t>相关服务项目</w:t>
      </w:r>
      <w:r>
        <w:rPr>
          <w:rFonts w:hint="eastAsia" w:ascii="仿宋_GB2312" w:hAnsi="仿宋_GB2312" w:eastAsia="仿宋_GB2312" w:cs="仿宋_GB2312"/>
          <w:color w:val="000000"/>
          <w:kern w:val="0"/>
          <w:sz w:val="32"/>
          <w:szCs w:val="32"/>
          <w:lang w:val="zh-CN" w:bidi="zh-CN"/>
        </w:rPr>
        <w:t>采购公告》全部内容和要求进行了充分了解和认真研究，认同该项目的全部内容和要求，现郑重承诺如下：</w:t>
      </w:r>
    </w:p>
    <w:p w14:paraId="414666B1">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1.参加本项目政府采购活动前三年内，我单位未因违法经营受到刑事处罚或者责令停产停业、吊销许可证或执照、较大数额罚款等行政处罚；</w:t>
      </w:r>
    </w:p>
    <w:p w14:paraId="6DCC70EC">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2.参加本项目政府采购活动前三年内，我单位未受到过全国各级人民政府财政部门依法作出的禁止参加政府采购活动（或期限已满）等行政处罚决定；</w:t>
      </w:r>
    </w:p>
    <w:p w14:paraId="6DB3972D">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3.参加本项目采购前三年内无不良信用记录；</w:t>
      </w:r>
    </w:p>
    <w:p w14:paraId="3BC5574D">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default"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val="en-US"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14:paraId="68292FE0">
      <w:pPr>
        <w:keepNext w:val="0"/>
        <w:keepLines w:val="0"/>
        <w:pageBreakBefore w:val="0"/>
        <w:widowControl w:val="0"/>
        <w:kinsoku/>
        <w:overflowPunct/>
        <w:topLinePunct w:val="0"/>
        <w:autoSpaceDE w:val="0"/>
        <w:autoSpaceDN w:val="0"/>
        <w:bidi w:val="0"/>
        <w:adjustRightInd/>
        <w:snapToGrid/>
        <w:spacing w:line="480" w:lineRule="exact"/>
        <w:ind w:left="0" w:leftChars="0" w:firstLine="640" w:firstLineChars="200"/>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14:paraId="15E093E9">
      <w:pPr>
        <w:pStyle w:val="3"/>
        <w:keepNext w:val="0"/>
        <w:keepLines w:val="0"/>
        <w:pageBreakBefore w:val="0"/>
        <w:widowControl w:val="0"/>
        <w:kinsoku/>
        <w:overflowPunct/>
        <w:topLinePunct w:val="0"/>
        <w:bidi w:val="0"/>
        <w:adjustRightInd/>
        <w:snapToGrid/>
        <w:spacing w:after="0" w:line="480" w:lineRule="exact"/>
        <w:ind w:left="0" w:leftChars="0"/>
        <w:textAlignment w:val="auto"/>
        <w:rPr>
          <w:rFonts w:hint="eastAsia" w:ascii="仿宋_GB2312" w:hAnsi="仿宋_GB2312" w:eastAsia="仿宋_GB2312" w:cs="仿宋_GB2312"/>
          <w:color w:val="000000"/>
          <w:sz w:val="32"/>
          <w:szCs w:val="32"/>
          <w:lang w:val="zh-CN"/>
        </w:rPr>
      </w:pPr>
    </w:p>
    <w:p w14:paraId="27F23FA6">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单位名称（盖章）：        </w:t>
      </w:r>
    </w:p>
    <w:p w14:paraId="79AA1F3E">
      <w:pPr>
        <w:keepNext w:val="0"/>
        <w:keepLines w:val="0"/>
        <w:pageBreakBefore w:val="0"/>
        <w:widowControl w:val="0"/>
        <w:kinsoku/>
        <w:wordWrap w:val="0"/>
        <w:overflowPunct/>
        <w:topLinePunct w:val="0"/>
        <w:autoSpaceDE w:val="0"/>
        <w:autoSpaceDN w:val="0"/>
        <w:bidi w:val="0"/>
        <w:adjustRightInd/>
        <w:snapToGrid/>
        <w:spacing w:line="480" w:lineRule="exact"/>
        <w:ind w:left="0" w:leftChars="0" w:firstLine="640" w:firstLineChars="200"/>
        <w:jc w:val="center"/>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en-US" w:bidi="zh-CN"/>
        </w:rPr>
        <w:t xml:space="preserve">      </w:t>
      </w:r>
      <w:r>
        <w:rPr>
          <w:rFonts w:hint="eastAsia" w:ascii="仿宋_GB2312" w:hAnsi="仿宋_GB2312" w:eastAsia="仿宋_GB2312" w:cs="仿宋_GB2312"/>
          <w:color w:val="000000"/>
          <w:kern w:val="0"/>
          <w:sz w:val="32"/>
          <w:szCs w:val="32"/>
          <w:lang w:val="zh-CN" w:bidi="zh-CN"/>
        </w:rPr>
        <w:t xml:space="preserve">法定代表人（签字）：        </w:t>
      </w:r>
    </w:p>
    <w:p w14:paraId="0BB28DE7">
      <w:pPr>
        <w:pStyle w:val="3"/>
        <w:keepNext w:val="0"/>
        <w:keepLines w:val="0"/>
        <w:pageBreakBefore w:val="0"/>
        <w:widowControl w:val="0"/>
        <w:kinsoku/>
        <w:wordWrap/>
        <w:overflowPunct/>
        <w:topLinePunct w:val="0"/>
        <w:bidi w:val="0"/>
        <w:adjustRightInd/>
        <w:snapToGrid/>
        <w:spacing w:after="0" w:line="480" w:lineRule="exact"/>
        <w:ind w:left="0" w:leftChars="0"/>
        <w:textAlignment w:val="auto"/>
        <w:rPr>
          <w:color w:val="000000"/>
          <w:sz w:val="32"/>
          <w:szCs w:val="32"/>
          <w:lang w:val="zh-CN"/>
        </w:rPr>
      </w:pPr>
    </w:p>
    <w:p w14:paraId="4EDA2147">
      <w:pPr>
        <w:keepNext w:val="0"/>
        <w:keepLines w:val="0"/>
        <w:pageBreakBefore w:val="0"/>
        <w:widowControl w:val="0"/>
        <w:kinsoku/>
        <w:overflowPunct/>
        <w:topLinePunct w:val="0"/>
        <w:autoSpaceDE w:val="0"/>
        <w:autoSpaceDN w:val="0"/>
        <w:bidi w:val="0"/>
        <w:adjustRightInd/>
        <w:snapToGrid/>
        <w:spacing w:line="480" w:lineRule="exact"/>
        <w:ind w:left="0" w:leftChars="0"/>
        <w:jc w:val="center"/>
        <w:textAlignment w:val="auto"/>
      </w:pPr>
      <w:r>
        <w:rPr>
          <w:rFonts w:hint="eastAsia" w:ascii="Times New Roman" w:hAnsi="Times New Roman" w:eastAsia="仿宋_GB2312"/>
          <w:color w:val="000000"/>
          <w:spacing w:val="20"/>
          <w:kern w:val="0"/>
          <w:sz w:val="32"/>
          <w:szCs w:val="32"/>
          <w:lang w:val="en-US"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p>
    <w:p w14:paraId="7D414B8F">
      <w:pPr>
        <w:rPr>
          <w:rFonts w:hint="default"/>
          <w:lang w:val="en-US" w:eastAsia="zh-CN"/>
        </w:rPr>
      </w:pPr>
    </w:p>
    <w:p w14:paraId="7A0B70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D7C6C"/>
    <w:rsid w:val="6AAD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ascii="仿宋_GB2312" w:eastAsia="仿宋_GB2312" w:cs="仿宋_GB2312"/>
      <w:color w:val="000000"/>
      <w:sz w:val="28"/>
      <w:szCs w:val="28"/>
      <w:u w:val="none"/>
    </w:rPr>
  </w:style>
  <w:style w:type="paragraph" w:customStyle="1" w:styleId="8">
    <w:name w:val="01 正文-首行缩进2字符"/>
    <w:basedOn w:val="1"/>
    <w:qFormat/>
    <w:uiPriority w:val="0"/>
    <w:pPr>
      <w:spacing w:before="50" w:beforeLines="50" w:after="50" w:afterLines="50" w:line="360" w:lineRule="auto"/>
      <w:ind w:firstLine="200" w:firstLineChars="200"/>
    </w:pPr>
    <w:rPr>
      <w:rFonts w:ascii="Arial" w:hAnsi="Arial" w:eastAsia="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2026-05-20T01:47:00Z</dcterms:created>
  <dc:creator>胡之澜</dc:creator>
  <cp:lastModifiedBy>胡之澜</cp:lastModifiedBy>
  <dcterms:modified xsi:type="dcterms:W3CDTF">2026-05-20T01:47:29Z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03034568BB4F43B3B6136170B2D8A1FC_11</vt:lpwstr>
  </property>
  <property fmtid="{D5CDD505-2E9C-101B-9397-08002B2CF9AE}" pid="4" name="KSOTemplateDocerSaveRecord">
    <vt:lpwstr>eyJoZGlkIjoiMmVkZmY5ZWRlNWYxZTM3M2Y2ZjNmZDUxZTAwMTAyYmEiLCJ1c2VySWQiOiIxNjA2MTE4MjgzIn0=</vt:lpwstr>
  </property>
</Properties>
</file>