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F8A1">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bookmarkStart w:id="0" w:name="_GoBack"/>
      <w:bookmarkEnd w:id="0"/>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t>附件1</w:t>
      </w:r>
    </w:p>
    <w:p w14:paraId="42FC23E6">
      <w:pPr>
        <w:widowControl w:val="0"/>
        <w:spacing w:before="50" w:beforeLines="50" w:after="50" w:afterLines="50" w:line="360" w:lineRule="auto"/>
        <w:ind w:left="0" w:leftChars="0" w:firstLine="0" w:firstLineChars="0"/>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综合比对评分细则</w:t>
      </w:r>
    </w:p>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40"/>
        <w:gridCol w:w="4887"/>
        <w:gridCol w:w="1492"/>
      </w:tblGrid>
      <w:tr w14:paraId="191C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blHeader/>
        </w:trPr>
        <w:tc>
          <w:tcPr>
            <w:tcW w:w="466" w:type="pct"/>
            <w:noWrap w:val="0"/>
            <w:vAlign w:val="center"/>
          </w:tcPr>
          <w:p w14:paraId="20F2C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序号</w:t>
            </w:r>
          </w:p>
        </w:tc>
        <w:tc>
          <w:tcPr>
            <w:tcW w:w="787" w:type="pct"/>
            <w:noWrap w:val="0"/>
            <w:vAlign w:val="center"/>
          </w:tcPr>
          <w:p w14:paraId="7D7F3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考核内容</w:t>
            </w:r>
          </w:p>
        </w:tc>
        <w:tc>
          <w:tcPr>
            <w:tcW w:w="2869" w:type="pct"/>
            <w:noWrap w:val="0"/>
            <w:vAlign w:val="center"/>
          </w:tcPr>
          <w:p w14:paraId="4D788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评分标准</w:t>
            </w:r>
          </w:p>
        </w:tc>
        <w:tc>
          <w:tcPr>
            <w:tcW w:w="876" w:type="pct"/>
            <w:noWrap w:val="0"/>
            <w:vAlign w:val="center"/>
          </w:tcPr>
          <w:p w14:paraId="5E21F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总分</w:t>
            </w:r>
          </w:p>
        </w:tc>
      </w:tr>
      <w:tr w14:paraId="025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466" w:type="pct"/>
            <w:noWrap w:val="0"/>
            <w:vAlign w:val="center"/>
          </w:tcPr>
          <w:p w14:paraId="5BA2C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787" w:type="pct"/>
            <w:noWrap w:val="0"/>
            <w:vAlign w:val="center"/>
          </w:tcPr>
          <w:p w14:paraId="3B696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策划方案</w:t>
            </w:r>
          </w:p>
        </w:tc>
        <w:tc>
          <w:tcPr>
            <w:tcW w:w="2869" w:type="pct"/>
            <w:noWrap w:val="0"/>
            <w:vAlign w:val="center"/>
          </w:tcPr>
          <w:p w14:paraId="5B7998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方案内容应包含但不限于宣传主题、活动形式、实施流程、时间计划、组织安排、风险管控等，应贴合数字经济、数据资产化、数据要素市场化改革相关活动宣传场景。方案针对性和完整性强得25-30分；方案针对性一般、内容较完整得15-20分；方案缺乏针对性，内容不完整得0-10分。</w:t>
            </w:r>
          </w:p>
        </w:tc>
        <w:tc>
          <w:tcPr>
            <w:tcW w:w="876" w:type="pct"/>
            <w:noWrap w:val="0"/>
            <w:vAlign w:val="center"/>
          </w:tcPr>
          <w:p w14:paraId="01B23A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30分</w:t>
            </w:r>
          </w:p>
        </w:tc>
      </w:tr>
      <w:tr w14:paraId="7265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466" w:type="pct"/>
            <w:noWrap w:val="0"/>
            <w:vAlign w:val="center"/>
          </w:tcPr>
          <w:p w14:paraId="3B95E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787" w:type="pct"/>
            <w:noWrap w:val="0"/>
            <w:vAlign w:val="center"/>
          </w:tcPr>
          <w:p w14:paraId="50BAA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团队配置</w:t>
            </w:r>
          </w:p>
        </w:tc>
        <w:tc>
          <w:tcPr>
            <w:tcW w:w="2869" w:type="pct"/>
            <w:noWrap w:val="0"/>
            <w:vAlign w:val="center"/>
          </w:tcPr>
          <w:p w14:paraId="17BA96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项目负责人具备数字经济、数据资产化、数据要素市场化改革相关活动举办经验，有同类项目管理经验得10分；</w:t>
            </w:r>
          </w:p>
          <w:p w14:paraId="7EEB37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配备文案设计、新媒体制作、现场执行、宣讲讲师等专人，团队架构完整、分工明确得10分。</w:t>
            </w:r>
          </w:p>
        </w:tc>
        <w:tc>
          <w:tcPr>
            <w:tcW w:w="876" w:type="pct"/>
            <w:noWrap w:val="0"/>
            <w:vAlign w:val="center"/>
          </w:tcPr>
          <w:p w14:paraId="6B51C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20分</w:t>
            </w:r>
          </w:p>
        </w:tc>
      </w:tr>
      <w:tr w14:paraId="7382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66" w:type="pct"/>
            <w:noWrap w:val="0"/>
            <w:vAlign w:val="center"/>
          </w:tcPr>
          <w:p w14:paraId="775F9A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787" w:type="pct"/>
            <w:noWrap w:val="0"/>
            <w:vAlign w:val="center"/>
          </w:tcPr>
          <w:p w14:paraId="0E8713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类似业绩</w:t>
            </w:r>
          </w:p>
        </w:tc>
        <w:tc>
          <w:tcPr>
            <w:tcW w:w="2869" w:type="pct"/>
            <w:noWrap w:val="0"/>
            <w:vAlign w:val="center"/>
          </w:tcPr>
          <w:p w14:paraId="09A5CC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default" w:ascii="方正仿宋_GBK" w:hAnsi="方正仿宋_GBK" w:eastAsia="方正仿宋_GBK" w:cs="方正仿宋_GBK"/>
                <w:i w:val="0"/>
                <w:color w:val="000000"/>
                <w:kern w:val="0"/>
                <w:sz w:val="28"/>
                <w:szCs w:val="28"/>
                <w:u w:val="none"/>
                <w:lang w:val="en-US" w:eastAsia="zh-CN" w:bidi="ar"/>
              </w:rPr>
              <w:t>自2023年以来，每举办1场数据领域相关宣传活动或参与相关项目，并能提供有效证明材料的，按实际举办场次或参与项目数量累计计分，单场活动或项目最高计3分，总分不超过20分。评分标准以活动规模、参与范围、实施效果等可量化指标为依据，不区分举办或参与活动的行政区域层级。</w:t>
            </w:r>
          </w:p>
        </w:tc>
        <w:tc>
          <w:tcPr>
            <w:tcW w:w="876" w:type="pct"/>
            <w:noWrap w:val="0"/>
            <w:vAlign w:val="center"/>
          </w:tcPr>
          <w:p w14:paraId="24321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20分</w:t>
            </w:r>
          </w:p>
        </w:tc>
      </w:tr>
      <w:tr w14:paraId="67C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466" w:type="pct"/>
            <w:noWrap w:val="0"/>
            <w:vAlign w:val="center"/>
          </w:tcPr>
          <w:p w14:paraId="3AE99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787" w:type="pct"/>
            <w:noWrap w:val="0"/>
            <w:vAlign w:val="center"/>
          </w:tcPr>
          <w:p w14:paraId="44AE9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项目报价</w:t>
            </w:r>
          </w:p>
        </w:tc>
        <w:tc>
          <w:tcPr>
            <w:tcW w:w="2869" w:type="pct"/>
            <w:noWrap w:val="0"/>
            <w:vAlign w:val="center"/>
          </w:tcPr>
          <w:p w14:paraId="574A78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最低的投标报价为评标基准价，其价格分为满分30分。其他投标人的价格分按照下列公式计算：报价得分=(评标基准价/投标报价)×30分。</w:t>
            </w:r>
          </w:p>
        </w:tc>
        <w:tc>
          <w:tcPr>
            <w:tcW w:w="876" w:type="pct"/>
            <w:noWrap w:val="0"/>
            <w:vAlign w:val="center"/>
          </w:tcPr>
          <w:p w14:paraId="2B8BA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30分</w:t>
            </w:r>
          </w:p>
        </w:tc>
      </w:tr>
      <w:tr w14:paraId="4C82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pct"/>
            <w:gridSpan w:val="3"/>
            <w:noWrap w:val="0"/>
            <w:vAlign w:val="top"/>
          </w:tcPr>
          <w:p w14:paraId="1EBA75AB">
            <w:pPr>
              <w:keepNext w:val="0"/>
              <w:keepLines w:val="0"/>
              <w:pageBreakBefore w:val="0"/>
              <w:widowControl w:val="0"/>
              <w:kinsoku/>
              <w:wordWrap/>
              <w:overflowPunct/>
              <w:topLinePunct w:val="0"/>
              <w:autoSpaceDE/>
              <w:autoSpaceDN/>
              <w:bidi w:val="0"/>
              <w:adjustRightInd/>
              <w:snapToGrid/>
              <w:spacing w:before="50" w:beforeLines="50" w:after="50" w:afterLines="50" w:line="320" w:lineRule="exact"/>
              <w:ind w:firstLine="560" w:firstLineChars="200"/>
              <w:jc w:val="center"/>
              <w:rPr>
                <w:rFonts w:hint="eastAsia" w:ascii="方正仿宋_GBK" w:hAnsi="方正仿宋_GBK" w:eastAsia="方正仿宋_GBK" w:cs="方正仿宋_GBK"/>
                <w:color w:val="000000"/>
                <w:kern w:val="2"/>
                <w:sz w:val="28"/>
                <w:szCs w:val="28"/>
                <w:vertAlign w:val="baseline"/>
                <w:lang w:val="en-US" w:eastAsia="zh-CN" w:bidi="ar-SA"/>
              </w:rPr>
            </w:pPr>
            <w:r>
              <w:rPr>
                <w:rFonts w:hint="eastAsia" w:ascii="方正仿宋_GBK" w:hAnsi="方正仿宋_GBK" w:eastAsia="方正仿宋_GBK" w:cs="方正仿宋_GBK"/>
                <w:color w:val="000000"/>
                <w:kern w:val="2"/>
                <w:sz w:val="28"/>
                <w:szCs w:val="28"/>
                <w:vertAlign w:val="baseline"/>
                <w:lang w:val="en-US" w:eastAsia="zh-CN" w:bidi="ar-SA"/>
              </w:rPr>
              <w:t>合计</w:t>
            </w:r>
          </w:p>
        </w:tc>
        <w:tc>
          <w:tcPr>
            <w:tcW w:w="876" w:type="pct"/>
            <w:noWrap w:val="0"/>
            <w:vAlign w:val="top"/>
          </w:tcPr>
          <w:p w14:paraId="7675313B">
            <w:pPr>
              <w:keepNext w:val="0"/>
              <w:keepLines w:val="0"/>
              <w:pageBreakBefore w:val="0"/>
              <w:widowControl w:val="0"/>
              <w:kinsoku/>
              <w:wordWrap/>
              <w:overflowPunct/>
              <w:topLinePunct w:val="0"/>
              <w:autoSpaceDE/>
              <w:autoSpaceDN/>
              <w:bidi w:val="0"/>
              <w:adjustRightInd/>
              <w:snapToGrid/>
              <w:spacing w:before="50" w:beforeLines="50" w:after="50" w:afterLines="50" w:line="320" w:lineRule="exact"/>
              <w:ind w:left="0" w:leftChars="0" w:firstLine="0" w:firstLineChars="0"/>
              <w:jc w:val="center"/>
              <w:rPr>
                <w:rFonts w:hint="eastAsia" w:ascii="方正仿宋_GBK" w:hAnsi="方正仿宋_GBK" w:eastAsia="方正仿宋_GBK" w:cs="方正仿宋_GBK"/>
                <w:color w:val="000000"/>
                <w:kern w:val="2"/>
                <w:sz w:val="28"/>
                <w:szCs w:val="28"/>
                <w:vertAlign w:val="baseline"/>
                <w:lang w:val="en-US" w:eastAsia="zh-CN" w:bidi="ar-SA"/>
              </w:rPr>
            </w:pPr>
            <w:r>
              <w:rPr>
                <w:rFonts w:hint="eastAsia" w:ascii="方正仿宋_GBK" w:hAnsi="方正仿宋_GBK" w:eastAsia="方正仿宋_GBK" w:cs="方正仿宋_GBK"/>
                <w:color w:val="000000"/>
                <w:kern w:val="2"/>
                <w:sz w:val="28"/>
                <w:szCs w:val="28"/>
                <w:vertAlign w:val="baseline"/>
                <w:lang w:val="en-US" w:eastAsia="zh-CN" w:bidi="ar-SA"/>
              </w:rPr>
              <w:t>100分</w:t>
            </w:r>
          </w:p>
        </w:tc>
      </w:tr>
    </w:tbl>
    <w:p w14:paraId="2C499800">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p>
    <w:p w14:paraId="2CA630A6">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br w:type="page"/>
      </w:r>
    </w:p>
    <w:p w14:paraId="1D6DD975">
      <w:pPr>
        <w:rPr>
          <w:rFonts w:hint="default"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t>附件2</w:t>
      </w:r>
    </w:p>
    <w:p w14:paraId="63FE081C">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采购项目报价单</w:t>
      </w:r>
    </w:p>
    <w:tbl>
      <w:tblPr>
        <w:tblStyle w:val="4"/>
        <w:tblW w:w="51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320"/>
        <w:gridCol w:w="3051"/>
        <w:gridCol w:w="1208"/>
        <w:gridCol w:w="1240"/>
        <w:gridCol w:w="993"/>
      </w:tblGrid>
      <w:tr w14:paraId="2FD3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E28456E">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采购单位：</w:t>
            </w:r>
            <w:r>
              <w:rPr>
                <w:rStyle w:val="7"/>
                <w:rFonts w:hAnsi="方正黑体_GBK"/>
                <w:color w:val="000000"/>
                <w:sz w:val="24"/>
                <w:szCs w:val="24"/>
                <w:lang w:val="en-US" w:eastAsia="zh-CN" w:bidi="ar"/>
              </w:rPr>
              <w:t>武汉市数据局</w:t>
            </w:r>
          </w:p>
        </w:tc>
      </w:tr>
      <w:tr w14:paraId="3B24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FAD2E8F">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采购</w:t>
            </w:r>
          </w:p>
          <w:p w14:paraId="2F68524F">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需求</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0181823">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198A78B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项目内容</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FC7C42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交付形式</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ECDA7B6">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交付时间</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A0EF8E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5F79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1"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72CCE">
            <w:pPr>
              <w:jc w:val="center"/>
              <w:rPr>
                <w:rFonts w:hint="eastAsia" w:ascii="方正黑体_GBK" w:hAnsi="方正黑体_GBK" w:eastAsia="方正黑体_GBK" w:cs="方正黑体_GBK"/>
                <w:i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FCF65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000000"/>
                <w:sz w:val="24"/>
                <w:szCs w:val="24"/>
                <w:u w:val="none"/>
              </w:rPr>
            </w:pPr>
            <w:r>
              <w:rPr>
                <w:rFonts w:hint="eastAsia" w:ascii="仿宋_GB2312" w:hAnsi="仿宋_GB2312" w:eastAsia="仿宋_GB2312" w:cs="仿宋_GB2312"/>
                <w:color w:val="000000"/>
                <w:sz w:val="24"/>
                <w:szCs w:val="24"/>
                <w:lang w:val="en-US" w:eastAsia="zh-CN"/>
              </w:rPr>
              <w:t>数商生态培育和数据资产化工作相关服务</w:t>
            </w:r>
          </w:p>
        </w:tc>
        <w:tc>
          <w:tcPr>
            <w:tcW w:w="1739" w:type="pct"/>
            <w:tcBorders>
              <w:top w:val="single" w:color="000000" w:sz="4" w:space="0"/>
              <w:left w:val="single" w:color="000000" w:sz="4" w:space="0"/>
              <w:bottom w:val="single" w:color="000000" w:sz="4" w:space="0"/>
              <w:right w:val="single" w:color="000000" w:sz="4" w:space="0"/>
            </w:tcBorders>
            <w:noWrap w:val="0"/>
            <w:vAlign w:val="center"/>
          </w:tcPr>
          <w:p w14:paraId="2F8527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000000"/>
                <w:sz w:val="24"/>
                <w:szCs w:val="24"/>
                <w:u w:val="none"/>
              </w:rPr>
            </w:pPr>
            <w:r>
              <w:rPr>
                <w:rFonts w:hint="eastAsia" w:ascii="仿宋_GB2312" w:hAnsi="仿宋_GB2312" w:eastAsia="仿宋_GB2312" w:cs="仿宋_GB2312"/>
                <w:b w:val="0"/>
                <w:bCs/>
                <w:color w:val="auto"/>
                <w:kern w:val="2"/>
                <w:sz w:val="24"/>
                <w:szCs w:val="24"/>
                <w:lang w:val="en-US" w:eastAsia="zh-CN" w:bidi="ar-SA"/>
              </w:rPr>
              <w:t>“围绕数商生态培育，推进数据资源资产化”主线，立足全市产业基础，联合相关部门、市属国有企业和各区举办8场数商生态培育和数据资产化路径培训活动，内容涵盖数据产权“三权分置”、数据资产登记、数据合规确权、数据资产评估、数据资产入表、公共数据授权运营、高质量数据集建设等，挖掘数据要素价值，培育“技术+场景+生态”融合的数商集群。摸清至少240家企业用数需求，撮合开发数据应用场景12个。</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78C74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i w:val="0"/>
                <w:color w:val="000000"/>
                <w:sz w:val="24"/>
                <w:szCs w:val="24"/>
                <w:u w:val="none"/>
                <w:lang w:val="en-US"/>
              </w:rPr>
            </w:pPr>
            <w:r>
              <w:rPr>
                <w:rFonts w:hint="default" w:ascii="仿宋_GB2312" w:hAnsi="仿宋_GB2312" w:eastAsia="仿宋_GB2312" w:cs="仿宋_GB2312"/>
                <w:color w:val="000000"/>
                <w:sz w:val="24"/>
                <w:szCs w:val="24"/>
                <w:lang w:val="en-US" w:eastAsia="zh-CN"/>
              </w:rPr>
              <w:t>举办活动</w:t>
            </w:r>
            <w:r>
              <w:rPr>
                <w:rFonts w:hint="eastAsia" w:ascii="仿宋_GB2312" w:hAnsi="仿宋_GB2312" w:eastAsia="仿宋_GB2312" w:cs="仿宋_GB2312"/>
                <w:color w:val="000000"/>
                <w:sz w:val="24"/>
                <w:szCs w:val="24"/>
                <w:lang w:val="en-US" w:eastAsia="zh-CN"/>
              </w:rPr>
              <w:t>的相关</w:t>
            </w:r>
            <w:r>
              <w:rPr>
                <w:rFonts w:hint="default" w:ascii="仿宋_GB2312" w:hAnsi="仿宋_GB2312" w:eastAsia="仿宋_GB2312" w:cs="仿宋_GB2312"/>
                <w:color w:val="000000"/>
                <w:sz w:val="24"/>
                <w:szCs w:val="24"/>
                <w:lang w:val="en-US" w:eastAsia="zh-CN"/>
              </w:rPr>
              <w:t>证明材料；摸清至少240家企业用数需求，撮合开发数据应用场景12个。</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0816F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4"/>
                <w:szCs w:val="24"/>
                <w:u w:val="none"/>
              </w:rPr>
            </w:pPr>
            <w:r>
              <w:rPr>
                <w:rFonts w:hint="default" w:ascii="仿宋_GB2312" w:hAnsi="仿宋_GB2312" w:eastAsia="仿宋_GB2312" w:cs="仿宋_GB2312"/>
                <w:color w:val="000000"/>
                <w:sz w:val="24"/>
                <w:szCs w:val="24"/>
                <w:lang w:val="en-US" w:eastAsia="zh-CN"/>
              </w:rPr>
              <w:t>202</w:t>
            </w:r>
            <w:r>
              <w:rPr>
                <w:rFonts w:hint="eastAsia" w:ascii="仿宋_GB2312" w:hAnsi="仿宋_GB2312" w:eastAsia="仿宋_GB2312" w:cs="仿宋_GB2312"/>
                <w:color w:val="000000"/>
                <w:sz w:val="24"/>
                <w:szCs w:val="24"/>
                <w:lang w:val="en-US" w:eastAsia="zh-CN"/>
              </w:rPr>
              <w:t>6年11月30日</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7791718">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据实提交，应交尽交</w:t>
            </w:r>
          </w:p>
        </w:tc>
      </w:tr>
      <w:tr w14:paraId="1D03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9D798E">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供应商回复</w:t>
            </w:r>
          </w:p>
        </w:tc>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3467BE0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服务内容</w:t>
            </w: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7E3414E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采购明细</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3263D9DB">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报价</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0998B26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交付时间</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0BC66C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309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B4E3C">
            <w:pPr>
              <w:jc w:val="center"/>
              <w:rPr>
                <w:rFonts w:hint="eastAsia" w:ascii="方正黑体_GBK" w:hAnsi="方正黑体_GBK" w:eastAsia="方正黑体_GBK" w:cs="方正黑体_GBK"/>
                <w:i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1A230FD">
            <w:pPr>
              <w:jc w:val="center"/>
              <w:rPr>
                <w:rFonts w:hint="eastAsia" w:ascii="方正黑体_GBK" w:hAnsi="方正黑体_GBK" w:eastAsia="方正黑体_GBK" w:cs="方正黑体_GBK"/>
                <w:i w:val="0"/>
                <w:color w:val="000000"/>
                <w:sz w:val="24"/>
                <w:szCs w:val="24"/>
                <w:u w:val="none"/>
              </w:rPr>
            </w:pP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1764392E">
            <w:pPr>
              <w:rPr>
                <w:rFonts w:hint="eastAsia" w:ascii="宋体" w:hAnsi="宋体" w:eastAsia="宋体" w:cs="宋体"/>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F32E2B2">
            <w:pPr>
              <w:rPr>
                <w:rFonts w:hint="eastAsia" w:ascii="宋体" w:hAnsi="宋体" w:eastAsia="宋体" w:cs="宋体"/>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7B87934D">
            <w:pP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933AAE8">
            <w:pPr>
              <w:rPr>
                <w:rFonts w:hint="eastAsia" w:ascii="宋体" w:hAnsi="宋体" w:eastAsia="宋体" w:cs="宋体"/>
                <w:i w:val="0"/>
                <w:color w:val="000000"/>
                <w:sz w:val="24"/>
                <w:szCs w:val="24"/>
                <w:u w:val="none"/>
              </w:rPr>
            </w:pPr>
          </w:p>
        </w:tc>
      </w:tr>
      <w:tr w14:paraId="6280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F5DD9">
            <w:pPr>
              <w:jc w:val="center"/>
              <w:rPr>
                <w:rFonts w:hint="eastAsia" w:ascii="方正黑体_GBK" w:hAnsi="方正黑体_GBK" w:eastAsia="方正黑体_GBK" w:cs="方正黑体_GBK"/>
                <w:i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54CAA37">
            <w:pPr>
              <w:jc w:val="center"/>
              <w:rPr>
                <w:rFonts w:hint="eastAsia" w:ascii="方正黑体_GBK" w:hAnsi="方正黑体_GBK" w:eastAsia="方正黑体_GBK" w:cs="方正黑体_GBK"/>
                <w:i w:val="0"/>
                <w:color w:val="000000"/>
                <w:sz w:val="24"/>
                <w:szCs w:val="24"/>
                <w:u w:val="none"/>
              </w:rPr>
            </w:pP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31DB441A">
            <w:pPr>
              <w:rPr>
                <w:rFonts w:hint="eastAsia" w:ascii="宋体" w:hAnsi="宋体" w:eastAsia="宋体" w:cs="宋体"/>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FB3FA63">
            <w:pPr>
              <w:rPr>
                <w:rFonts w:hint="eastAsia" w:ascii="宋体" w:hAnsi="宋体" w:eastAsia="宋体" w:cs="宋体"/>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6F4C0074">
            <w:pP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6EE0E11">
            <w:pPr>
              <w:rPr>
                <w:rFonts w:hint="eastAsia" w:ascii="宋体" w:hAnsi="宋体" w:eastAsia="宋体" w:cs="宋体"/>
                <w:i w:val="0"/>
                <w:color w:val="000000"/>
                <w:sz w:val="24"/>
                <w:szCs w:val="24"/>
                <w:u w:val="none"/>
              </w:rPr>
            </w:pPr>
          </w:p>
        </w:tc>
      </w:tr>
      <w:tr w14:paraId="1725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A7A5C">
            <w:pPr>
              <w:jc w:val="center"/>
              <w:rPr>
                <w:rFonts w:hint="eastAsia" w:ascii="方正黑体_GBK" w:hAnsi="方正黑体_GBK" w:eastAsia="方正黑体_GBK" w:cs="方正黑体_GBK"/>
                <w:i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AFCAFD4">
            <w:pPr>
              <w:jc w:val="center"/>
              <w:rPr>
                <w:rFonts w:hint="eastAsia" w:ascii="方正黑体_GBK" w:hAnsi="方正黑体_GBK" w:eastAsia="方正黑体_GBK" w:cs="方正黑体_GBK"/>
                <w:i w:val="0"/>
                <w:color w:val="000000"/>
                <w:sz w:val="24"/>
                <w:szCs w:val="24"/>
                <w:u w:val="none"/>
              </w:rPr>
            </w:pP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27CF8EFC">
            <w:pPr>
              <w:rPr>
                <w:rFonts w:hint="eastAsia" w:ascii="宋体" w:hAnsi="宋体" w:eastAsia="宋体" w:cs="宋体"/>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32F8BC73">
            <w:pPr>
              <w:rPr>
                <w:rFonts w:hint="eastAsia" w:ascii="宋体" w:hAnsi="宋体" w:eastAsia="宋体" w:cs="宋体"/>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53A4ACF1">
            <w:pP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5BA50F5">
            <w:pPr>
              <w:rPr>
                <w:rFonts w:hint="eastAsia" w:ascii="宋体" w:hAnsi="宋体" w:eastAsia="宋体" w:cs="宋体"/>
                <w:i w:val="0"/>
                <w:color w:val="000000"/>
                <w:sz w:val="24"/>
                <w:szCs w:val="24"/>
                <w:u w:val="none"/>
              </w:rPr>
            </w:pPr>
          </w:p>
        </w:tc>
      </w:tr>
      <w:tr w14:paraId="56D6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23EF6E">
            <w:pPr>
              <w:jc w:val="center"/>
              <w:rPr>
                <w:rFonts w:hint="eastAsia" w:ascii="方正黑体_GBK" w:hAnsi="方正黑体_GBK" w:eastAsia="方正黑体_GBK" w:cs="方正黑体_GBK"/>
                <w:i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1E5B64A">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报价</w:t>
            </w:r>
          </w:p>
          <w:p w14:paraId="57F77CB0">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总金额</w:t>
            </w: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4DAA0A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1962" w:type="pct"/>
            <w:gridSpan w:val="3"/>
            <w:tcBorders>
              <w:top w:val="single" w:color="000000" w:sz="4" w:space="0"/>
              <w:left w:val="single" w:color="000000" w:sz="4" w:space="0"/>
              <w:bottom w:val="single" w:color="000000" w:sz="4" w:space="0"/>
              <w:right w:val="single" w:color="000000" w:sz="4" w:space="0"/>
            </w:tcBorders>
            <w:noWrap/>
            <w:vAlign w:val="center"/>
          </w:tcPr>
          <w:p w14:paraId="5AF088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r>
      <w:tr w14:paraId="0E55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3037" w:type="pct"/>
            <w:gridSpan w:val="3"/>
            <w:tcBorders>
              <w:top w:val="single" w:color="000000" w:sz="4" w:space="0"/>
              <w:left w:val="single" w:color="000000" w:sz="4" w:space="0"/>
              <w:bottom w:val="single" w:color="000000" w:sz="4" w:space="0"/>
              <w:right w:val="single" w:color="000000" w:sz="4" w:space="0"/>
            </w:tcBorders>
            <w:noWrap/>
            <w:vAlign w:val="center"/>
          </w:tcPr>
          <w:p w14:paraId="2BD57B53">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供应商名称（盖章）：</w:t>
            </w:r>
          </w:p>
        </w:tc>
        <w:tc>
          <w:tcPr>
            <w:tcW w:w="1962" w:type="pct"/>
            <w:gridSpan w:val="3"/>
            <w:tcBorders>
              <w:top w:val="single" w:color="000000" w:sz="4" w:space="0"/>
              <w:left w:val="single" w:color="000000" w:sz="4" w:space="0"/>
              <w:bottom w:val="single" w:color="000000" w:sz="4" w:space="0"/>
              <w:right w:val="single" w:color="000000" w:sz="4" w:space="0"/>
            </w:tcBorders>
            <w:noWrap/>
            <w:vAlign w:val="center"/>
          </w:tcPr>
          <w:p w14:paraId="6A3A5B4A">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联系人：</w:t>
            </w:r>
          </w:p>
        </w:tc>
      </w:tr>
      <w:tr w14:paraId="7B5E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3037" w:type="pct"/>
            <w:gridSpan w:val="3"/>
            <w:tcBorders>
              <w:top w:val="single" w:color="000000" w:sz="4" w:space="0"/>
              <w:left w:val="single" w:color="000000" w:sz="4" w:space="0"/>
              <w:bottom w:val="single" w:color="000000" w:sz="4" w:space="0"/>
              <w:right w:val="single" w:color="000000" w:sz="4" w:space="0"/>
            </w:tcBorders>
            <w:noWrap/>
            <w:vAlign w:val="center"/>
          </w:tcPr>
          <w:p w14:paraId="2CD3E6EA">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报价时间：</w:t>
            </w:r>
          </w:p>
        </w:tc>
        <w:tc>
          <w:tcPr>
            <w:tcW w:w="1962" w:type="pct"/>
            <w:gridSpan w:val="3"/>
            <w:tcBorders>
              <w:top w:val="single" w:color="000000" w:sz="4" w:space="0"/>
              <w:left w:val="single" w:color="000000" w:sz="4" w:space="0"/>
              <w:bottom w:val="single" w:color="000000" w:sz="4" w:space="0"/>
              <w:right w:val="single" w:color="000000" w:sz="4" w:space="0"/>
            </w:tcBorders>
            <w:noWrap/>
            <w:vAlign w:val="center"/>
          </w:tcPr>
          <w:p w14:paraId="68BFD56E">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联系电话：</w:t>
            </w:r>
          </w:p>
        </w:tc>
      </w:tr>
    </w:tbl>
    <w:p w14:paraId="7CBF41F4">
      <w:pPr>
        <w:keepNext w:val="0"/>
        <w:keepLines w:val="0"/>
        <w:pageBreakBefore w:val="0"/>
        <w:widowControl w:val="0"/>
        <w:kinsoku/>
        <w:overflowPunct/>
        <w:topLinePunct w:val="0"/>
        <w:autoSpaceDE w:val="0"/>
        <w:autoSpaceDN w:val="0"/>
        <w:bidi w:val="0"/>
        <w:adjustRightInd/>
        <w:snapToGrid/>
        <w:spacing w:line="480" w:lineRule="exact"/>
        <w:ind w:left="0" w:leftChars="0"/>
        <w:jc w:val="center"/>
        <w:textAlignment w:val="auto"/>
      </w:pPr>
    </w:p>
    <w:p w14:paraId="69315B03">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eastAsia" w:ascii="方正黑体_GBK" w:hAnsi="方正黑体_GBK" w:eastAsia="方正黑体_GBK" w:cs="方正黑体_GBK"/>
          <w:color w:val="000000"/>
          <w:kern w:val="0"/>
          <w:sz w:val="32"/>
          <w:szCs w:val="32"/>
          <w:lang w:val="zh-CN" w:bidi="zh-CN"/>
        </w:rPr>
      </w:pPr>
    </w:p>
    <w:p w14:paraId="21574DCB">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default" w:ascii="方正黑体_GBK" w:hAnsi="方正黑体_GBK" w:eastAsia="方正黑体_GBK" w:cs="方正黑体_GBK"/>
          <w:color w:val="000000"/>
          <w:kern w:val="0"/>
          <w:sz w:val="32"/>
          <w:szCs w:val="32"/>
          <w:lang w:val="en-US" w:bidi="zh-CN"/>
        </w:rPr>
      </w:pPr>
      <w:r>
        <w:rPr>
          <w:rFonts w:hint="eastAsia" w:ascii="方正黑体_GBK" w:hAnsi="方正黑体_GBK" w:eastAsia="方正黑体_GBK" w:cs="方正黑体_GBK"/>
          <w:color w:val="000000"/>
          <w:kern w:val="0"/>
          <w:sz w:val="32"/>
          <w:szCs w:val="32"/>
          <w:lang w:val="zh-CN" w:bidi="zh-CN"/>
        </w:rPr>
        <w:t>附件</w:t>
      </w:r>
      <w:r>
        <w:rPr>
          <w:rFonts w:hint="eastAsia" w:ascii="方正黑体_GBK" w:hAnsi="方正黑体_GBK" w:eastAsia="方正黑体_GBK" w:cs="方正黑体_GBK"/>
          <w:color w:val="000000"/>
          <w:kern w:val="0"/>
          <w:sz w:val="32"/>
          <w:szCs w:val="32"/>
          <w:lang w:val="en-US" w:bidi="zh-CN"/>
        </w:rPr>
        <w:t>3</w:t>
      </w:r>
    </w:p>
    <w:p w14:paraId="3A83B6F4">
      <w:pPr>
        <w:keepNext w:val="0"/>
        <w:keepLines w:val="0"/>
        <w:pageBreakBefore w:val="0"/>
        <w:widowControl/>
        <w:kinsoku/>
        <w:overflowPunct/>
        <w:topLinePunct w:val="0"/>
        <w:autoSpaceDE w:val="0"/>
        <w:autoSpaceDN w:val="0"/>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zh-CN" w:bidi="zh-CN"/>
        </w:rPr>
      </w:pPr>
      <w:r>
        <w:rPr>
          <w:rFonts w:hint="eastAsia" w:ascii="方正小标宋简体" w:hAnsi="方正小标宋简体" w:eastAsia="方正小标宋简体" w:cs="方正小标宋简体"/>
          <w:color w:val="000000"/>
          <w:kern w:val="0"/>
          <w:sz w:val="44"/>
          <w:szCs w:val="44"/>
          <w:lang w:val="zh-CN" w:bidi="zh-CN"/>
        </w:rPr>
        <w:t>承诺书</w:t>
      </w:r>
    </w:p>
    <w:p w14:paraId="646AFB45">
      <w:pPr>
        <w:keepNext w:val="0"/>
        <w:keepLines w:val="0"/>
        <w:pageBreakBefore w:val="0"/>
        <w:kinsoku/>
        <w:overflowPunct/>
        <w:topLinePunct w:val="0"/>
        <w:autoSpaceDE w:val="0"/>
        <w:autoSpaceDN w:val="0"/>
        <w:bidi w:val="0"/>
        <w:adjustRightInd/>
        <w:snapToGrid/>
        <w:spacing w:line="520" w:lineRule="exact"/>
        <w:textAlignment w:val="auto"/>
        <w:rPr>
          <w:rFonts w:ascii="Times New Roman" w:hAnsi="Times New Roman" w:eastAsia="仿宋_GB2312"/>
          <w:b/>
          <w:bCs/>
          <w:color w:val="000000"/>
          <w:kern w:val="0"/>
          <w:sz w:val="32"/>
          <w:szCs w:val="32"/>
          <w:lang w:val="zh-CN" w:bidi="zh-CN"/>
        </w:rPr>
      </w:pPr>
    </w:p>
    <w:p w14:paraId="43BBEAA3">
      <w:pPr>
        <w:keepNext w:val="0"/>
        <w:keepLines w:val="0"/>
        <w:pageBreakBefore w:val="0"/>
        <w:widowControl w:val="0"/>
        <w:kinsoku/>
        <w:overflowPunct/>
        <w:topLinePunct w:val="0"/>
        <w:autoSpaceDE w:val="0"/>
        <w:autoSpaceDN w:val="0"/>
        <w:bidi w:val="0"/>
        <w:adjustRightInd/>
        <w:snapToGrid/>
        <w:spacing w:line="480" w:lineRule="exact"/>
        <w:ind w:left="0" w:leftChars="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致：武汉市数据局</w:t>
      </w:r>
    </w:p>
    <w:p w14:paraId="0A804B27">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p>
    <w:p w14:paraId="70BBB4EF">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我单位对你单位发来的《关于数商生态培育和数据资产化工作相关服务项目采购公告》全部内容和要求进行了充分了解和认真研究，认同该项目的全部内容和要求，现郑重承诺如下：</w:t>
      </w:r>
    </w:p>
    <w:p w14:paraId="414666B1">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1.参加本项目政府采购活动前三年内，我单位未因违法经营受到刑事处罚或者责令停产停业、吊销许可证或执照、较大数额罚款等行政处罚；</w:t>
      </w:r>
    </w:p>
    <w:p w14:paraId="6DCC70EC">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2.参加本项目政府采购活动前三年内，我单位未受到过全国各级人民政府财政部门依法作出的禁止参加政府采购活动（或期限已满）等行政处罚决定；</w:t>
      </w:r>
    </w:p>
    <w:p w14:paraId="6DB3972D">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3.参加本项目采购前三年内无不良信用记录；</w:t>
      </w:r>
    </w:p>
    <w:p w14:paraId="3BC5574D">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default"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4.</w:t>
      </w:r>
      <w:r>
        <w:rPr>
          <w:rFonts w:hint="eastAsia" w:ascii="仿宋_GB2312" w:hAnsi="仿宋_GB2312" w:eastAsia="仿宋_GB2312" w:cs="仿宋_GB2312"/>
          <w:color w:val="000000"/>
          <w:kern w:val="0"/>
          <w:sz w:val="32"/>
          <w:szCs w:val="32"/>
          <w:lang w:val="zh-CN" w:bidi="zh-CN"/>
        </w:rPr>
        <w:t>中选后，我单位将组织专门力量实施该项目，进一步完善细化实施方案，按时、保质、保量完成该项目的各项内容，实现该项目的各项要求；</w:t>
      </w:r>
    </w:p>
    <w:p w14:paraId="68292FE0">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5.我</w:t>
      </w:r>
      <w:r>
        <w:rPr>
          <w:rFonts w:hint="eastAsia" w:ascii="仿宋_GB2312" w:hAnsi="仿宋_GB2312" w:eastAsia="仿宋_GB2312" w:cs="仿宋_GB2312"/>
          <w:color w:val="000000"/>
          <w:kern w:val="0"/>
          <w:sz w:val="32"/>
          <w:szCs w:val="32"/>
          <w:lang w:val="zh-CN" w:bidi="zh-CN"/>
        </w:rPr>
        <w:t>单位提供的申报材料真实、有效、合法。如隐瞒有关情况或提供任何虚假材料，愿意承担一切法律后果。</w:t>
      </w:r>
    </w:p>
    <w:p w14:paraId="15E093E9">
      <w:pPr>
        <w:pStyle w:val="3"/>
        <w:keepNext w:val="0"/>
        <w:keepLines w:val="0"/>
        <w:pageBreakBefore w:val="0"/>
        <w:widowControl w:val="0"/>
        <w:kinsoku/>
        <w:overflowPunct/>
        <w:topLinePunct w:val="0"/>
        <w:bidi w:val="0"/>
        <w:adjustRightInd/>
        <w:snapToGrid/>
        <w:spacing w:after="0" w:line="480" w:lineRule="exact"/>
        <w:ind w:left="0" w:leftChars="0"/>
        <w:textAlignment w:val="auto"/>
        <w:rPr>
          <w:rFonts w:hint="eastAsia" w:ascii="仿宋_GB2312" w:hAnsi="仿宋_GB2312" w:eastAsia="仿宋_GB2312" w:cs="仿宋_GB2312"/>
          <w:color w:val="000000"/>
          <w:sz w:val="32"/>
          <w:szCs w:val="32"/>
          <w:lang w:val="zh-CN"/>
        </w:rPr>
      </w:pPr>
    </w:p>
    <w:p w14:paraId="27F23FA6">
      <w:pPr>
        <w:keepNext w:val="0"/>
        <w:keepLines w:val="0"/>
        <w:pageBreakBefore w:val="0"/>
        <w:widowControl w:val="0"/>
        <w:kinsoku/>
        <w:wordWrap w:val="0"/>
        <w:overflowPunct/>
        <w:topLinePunct w:val="0"/>
        <w:autoSpaceDE w:val="0"/>
        <w:autoSpaceDN w:val="0"/>
        <w:bidi w:val="0"/>
        <w:adjustRightInd/>
        <w:snapToGrid/>
        <w:spacing w:line="480" w:lineRule="exact"/>
        <w:ind w:left="0" w:leftChars="0" w:firstLine="640" w:firstLineChars="200"/>
        <w:jc w:val="center"/>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 xml:space="preserve">        </w:t>
      </w:r>
      <w:r>
        <w:rPr>
          <w:rFonts w:hint="eastAsia" w:ascii="仿宋_GB2312" w:hAnsi="仿宋_GB2312" w:eastAsia="仿宋_GB2312" w:cs="仿宋_GB2312"/>
          <w:color w:val="000000"/>
          <w:kern w:val="0"/>
          <w:sz w:val="32"/>
          <w:szCs w:val="32"/>
          <w:lang w:val="zh-CN" w:bidi="zh-CN"/>
        </w:rPr>
        <w:t xml:space="preserve">单位名称（盖章）：        </w:t>
      </w:r>
    </w:p>
    <w:p w14:paraId="79AA1F3E">
      <w:pPr>
        <w:keepNext w:val="0"/>
        <w:keepLines w:val="0"/>
        <w:pageBreakBefore w:val="0"/>
        <w:widowControl w:val="0"/>
        <w:kinsoku/>
        <w:wordWrap w:val="0"/>
        <w:overflowPunct/>
        <w:topLinePunct w:val="0"/>
        <w:autoSpaceDE w:val="0"/>
        <w:autoSpaceDN w:val="0"/>
        <w:bidi w:val="0"/>
        <w:adjustRightInd/>
        <w:snapToGrid/>
        <w:spacing w:line="480" w:lineRule="exact"/>
        <w:ind w:left="0" w:leftChars="0" w:firstLine="640" w:firstLineChars="200"/>
        <w:jc w:val="center"/>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 xml:space="preserve">      </w:t>
      </w:r>
      <w:r>
        <w:rPr>
          <w:rFonts w:hint="eastAsia" w:ascii="仿宋_GB2312" w:hAnsi="仿宋_GB2312" w:eastAsia="仿宋_GB2312" w:cs="仿宋_GB2312"/>
          <w:color w:val="000000"/>
          <w:kern w:val="0"/>
          <w:sz w:val="32"/>
          <w:szCs w:val="32"/>
          <w:lang w:val="zh-CN" w:bidi="zh-CN"/>
        </w:rPr>
        <w:t xml:space="preserve">法定代表人（签字）：        </w:t>
      </w:r>
    </w:p>
    <w:p w14:paraId="0BB28DE7">
      <w:pPr>
        <w:pStyle w:val="3"/>
        <w:keepNext w:val="0"/>
        <w:keepLines w:val="0"/>
        <w:pageBreakBefore w:val="0"/>
        <w:widowControl w:val="0"/>
        <w:kinsoku/>
        <w:wordWrap/>
        <w:overflowPunct/>
        <w:topLinePunct w:val="0"/>
        <w:bidi w:val="0"/>
        <w:adjustRightInd/>
        <w:snapToGrid/>
        <w:spacing w:after="0" w:line="480" w:lineRule="exact"/>
        <w:ind w:left="0" w:leftChars="0"/>
        <w:textAlignment w:val="auto"/>
        <w:rPr>
          <w:color w:val="000000"/>
          <w:sz w:val="32"/>
          <w:szCs w:val="32"/>
          <w:lang w:val="zh-CN"/>
        </w:rPr>
      </w:pPr>
    </w:p>
    <w:p w14:paraId="4EDA2147">
      <w:pPr>
        <w:keepNext w:val="0"/>
        <w:keepLines w:val="0"/>
        <w:pageBreakBefore w:val="0"/>
        <w:widowControl w:val="0"/>
        <w:kinsoku/>
        <w:overflowPunct/>
        <w:topLinePunct w:val="0"/>
        <w:autoSpaceDE w:val="0"/>
        <w:autoSpaceDN w:val="0"/>
        <w:bidi w:val="0"/>
        <w:adjustRightInd/>
        <w:snapToGrid/>
        <w:spacing w:line="480" w:lineRule="exact"/>
        <w:ind w:left="0" w:leftChars="0"/>
        <w:jc w:val="center"/>
        <w:textAlignment w:val="auto"/>
      </w:pPr>
      <w:r>
        <w:rPr>
          <w:rFonts w:hint="eastAsia" w:ascii="Times New Roman" w:hAnsi="Times New Roman" w:eastAsia="仿宋_GB2312"/>
          <w:color w:val="000000"/>
          <w:spacing w:val="20"/>
          <w:kern w:val="0"/>
          <w:sz w:val="32"/>
          <w:szCs w:val="32"/>
          <w:lang w:val="en-US" w:bidi="zh-CN"/>
        </w:rPr>
        <w:t xml:space="preserve">                    </w:t>
      </w:r>
      <w:r>
        <w:rPr>
          <w:rFonts w:ascii="Times New Roman" w:hAnsi="Times New Roman" w:eastAsia="仿宋_GB2312"/>
          <w:color w:val="000000"/>
          <w:spacing w:val="20"/>
          <w:kern w:val="0"/>
          <w:sz w:val="32"/>
          <w:szCs w:val="32"/>
          <w:lang w:val="zh-CN" w:bidi="zh-CN"/>
        </w:rPr>
        <w:t>年</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月</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日</w:t>
      </w:r>
    </w:p>
    <w:p w14:paraId="7D414B8F">
      <w:pPr>
        <w:rPr>
          <w:rFonts w:hint="default"/>
          <w:lang w:val="en-US" w:eastAsia="zh-CN"/>
        </w:rPr>
      </w:pPr>
    </w:p>
    <w:p w14:paraId="7A0B70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D7C6C"/>
    <w:rsid w:val="1DA97294"/>
    <w:rsid w:val="6AAD7C6C"/>
    <w:rsid w:val="B7EDE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ascii="仿宋_GB2312" w:eastAsia="仿宋_GB2312" w:cs="仿宋_GB2312"/>
      <w:color w:val="000000"/>
      <w:sz w:val="28"/>
      <w:szCs w:val="28"/>
      <w:u w:val="none"/>
    </w:rPr>
  </w:style>
  <w:style w:type="paragraph" w:customStyle="1" w:styleId="8">
    <w:name w:val="01 正文-首行缩进2字符"/>
    <w:basedOn w:val="1"/>
    <w:qFormat/>
    <w:uiPriority w:val="0"/>
    <w:pPr>
      <w:spacing w:before="50" w:beforeLines="50" w:after="50" w:afterLines="50" w:line="360" w:lineRule="auto"/>
      <w:ind w:firstLine="200" w:firstLineChars="200"/>
    </w:pPr>
    <w:rPr>
      <w:rFonts w:ascii="Arial" w:hAnsi="Arial" w:eastAsia="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1192</Words>
  <Characters>1234</Characters>
  <Lines>0</Lines>
  <Paragraphs>0</Paragraphs>
  <TotalTime>0</TotalTime>
  <ScaleCrop>false</ScaleCrop>
  <LinksUpToDate>false</LinksUpToDate>
  <CharactersWithSpaces>1288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2026-05-20T09:47:00Z</dcterms:created>
  <dc:creator>胡之澜</dc:creator>
  <cp:lastModifiedBy>胡之澜</cp:lastModifiedBy>
  <dcterms:modified xsi:type="dcterms:W3CDTF">2026-06-23T02:20:51Z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5ADCF457AFF342689C582BEF3F48A814_13</vt:lpwstr>
  </property>
  <property fmtid="{D5CDD505-2E9C-101B-9397-08002B2CF9AE}" pid="4" name="KSOTemplateDocerSaveRecord">
    <vt:lpwstr>eyJoZGlkIjoiMmVkZmY5ZWRlNWYxZTM3M2Y2ZjNmZDUxZTAwMTAyYmEiLCJ1c2VySWQiOiIxNjA2MTE4MjgzIn0=</vt:lpwstr>
  </property>
</Properties>
</file>