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‌武汉市算力券管理办法</w:t>
      </w:r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‌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bidi="ar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eastAsia="zh-CN" w:bidi="ar"/>
        </w:rPr>
        <w:t>征求意见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bidi="ar"/>
        </w:rPr>
        <w:t>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center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第一章 总则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第一条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为充分发挥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政策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引导作用，规范武汉算力券管理，推动算力资源普惠共享，结合我市实际情况，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制定本办法。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>第二条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 xml:space="preserve"> 本办法所称算力券，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是通过财政资金后补助的方式，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支持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企业（含OPC）、科研机构、高校等算力需求方购买智算、超算、量子算力服务和Token服务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政府补贴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凭证。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>第三条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算力券发放工作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遵循公平公正、公开透明、按需使用、科学管理的原则，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按年度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先到先得，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且应遵守相关的法律法规和财政规章制度。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center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eastAsia="zh-CN" w:bidi="ar"/>
        </w:rPr>
        <w:t>二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>章 支持对象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eastAsia="zh-CN" w:bidi="ar"/>
        </w:rPr>
        <w:t>、范围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>和标准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eastAsia="zh-CN" w:bidi="ar"/>
        </w:rPr>
        <w:t>四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>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算力需求方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武汉市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内独立法人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的企业（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OPC）、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科研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机构、高校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eastAsia="zh-CN" w:bidi="ar"/>
        </w:rPr>
        <w:t>五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>条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</w:t>
      </w:r>
      <w:bookmarkStart w:id="0" w:name="OLE_LINK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算力供给方</w:t>
      </w:r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是提供算力服务、Token服务的企业，包含算力中心及云服务商等。算力供给方应为武汉市内独立法人企业，具备长期稳定的专业技术服务能力和管理团队，拥有IDC/ISP等相关合规运营资质，并在武汉算力公共服务平台（以下简称“算力平台”）实现算力资源上架或对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算力供给方认定采取自愿申请、择优选定的原则，第三方服务机构对算力供给方申报材料进行初审，市数据局进行复核、公示后，纳入算力供给方库。市数据局对算力供给方实行动态监管，按需更新算力供给方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eastAsia="zh-CN" w:bidi="ar"/>
        </w:rPr>
        <w:t>六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>条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算力需求方与算力供给方均须近三年信用状况良好，未在“信用中国”失信惩戒对象、严重违法失信名单和严重失信主体名单有效期内。且双方无影响公平公正市场交易的关联关系。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eastAsia="zh-CN" w:bidi="ar"/>
        </w:rPr>
        <w:t>七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>条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根据算力使用情况每年设立总额不超过1亿元的算力券。对算力需求方购买服务累计金额在5万元（含）以上的，非自主可控算力服务、国产人工智能大模型Token服务，按服务实际发生金额（不含税费，下同）的20%补贴；自主可控算力服务，按服务实际发生金额的30%补贴。同一主体年度补贴总额最高300万元，兑付资金精确到千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eastAsia="zh-CN" w:bidi="ar"/>
        </w:rPr>
        <w:t>三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>章 职责分工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eastAsia="zh-CN" w:bidi="ar"/>
        </w:rPr>
        <w:t>八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>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本办法涉及市数据局、市财政局、第三方服务机构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、审计机构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等，各自承担以下主要职责：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bidi="ar"/>
        </w:rPr>
        <w:t>（一）市数据局：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‌负责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算力券资金管理和监督，算力券资金预算绩效评价工作；遴选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第三方服务机构组织算力券发放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组织认定算力供给方；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选聘第三方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审计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机构开展审计、抽查或其他辅助性工作。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eastAsia="zh-CN" w:bidi="ar"/>
        </w:rPr>
        <w:t>（二）市财政局：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负责算力券年度财政资金的预算安排；按照规定程序及时拨付算力券兑付资金；监督财政资金使用的合规性；参与算力券政策研究、调整与完善工作。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eastAsia="zh-CN" w:bidi="ar"/>
        </w:rPr>
        <w:t>（三）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bidi="ar"/>
        </w:rPr>
        <w:t>第三方服务机构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受委托承担算力券日常事务性与技术性工作，需具有算力券发放全周期管理能力和公共服务属性。负责算力券兑付申请的材料核验、合规性审查；开展算力券交易数据、服务使用记录的日常监测与汇总分析；承担政策咨询、业务指引等服务支撑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bidi="ar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eastAsia="zh-CN" w:bidi="ar"/>
        </w:rPr>
        <w:t>四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bidi="ar"/>
        </w:rPr>
        <w:t>）第三方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eastAsia="zh-CN" w:bidi="ar"/>
        </w:rPr>
        <w:t>审计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bidi="ar"/>
        </w:rPr>
        <w:t>机构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受委托承担审计监督职责。负责对申报项目相关资料的真实性、合规性、合法性及效益等进行审查；参考市场价对算力平台上架算力服务价格进行审计；按照支持条件对申报项目进行审查，出具审查报告。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eastAsia="zh-CN" w:bidi="ar"/>
        </w:rPr>
        <w:t>四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 xml:space="preserve">章 </w:t>
      </w:r>
      <w:r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val="en-US" w:eastAsia="zh-CN" w:bidi="ar"/>
        </w:rPr>
        <w:t>使用和兑付流程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eastAsia="zh-CN" w:bidi="ar"/>
        </w:rPr>
        <w:t>九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>条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算力券申领、使用、兑现：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（一）申领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算力需求方统一在算力平台进行算力券申领。申领按平台内交易、平台外交易采用不同流程：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1.平台内交易。需求方提交购买订单并完成支付，平台自动计算补贴金额并生成算力券，需求方领取。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2.平台外交易。需求方登录平台完成注册，提交与算力供给方签订的服务合同、承诺函和法人授权书等材料，填写算力服务基本信息。OPC用算由市级认定的OPC园区运营方集中申领。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（二）使用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算力需求方按购买订单或合同，完成算力交易和算力实际使用。算力券仅限于算力需求方自身使用，不得转让、赠送、买卖、出借、重复使用等。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（三）兑现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1.平台内交易“免申即享”。需求方支付购买订单，完成算力使用后，上传付款凭证、电子发票，第三方服务机构每季度兑现一次。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2.平台外交易“快申快享”。需求方在平台上传对应的发票、付款凭证、算力服务使用记录、算力券凭证，发起兑现申请。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3.汇总审计：第三方服务机构汇总审核全市算力券兑付凭证、支付与审核记录、兑付数据等相关材料，市数据局组织审计机构进行审计，必要时组织实地审查，确保“真买真用”。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4.结果公示。市数据局依据审计结果，确定补贴名单并将兑现结果公示5个工作日。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5.兑现。公示无异议后，由市数据局报市政府审核。根据市政府审定意见，市数据局会同市财政局将资金拨付至第三方服务机构。第三方服务机构收到资金后及时、足额将资金兑付给算力需求方。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eastAsia="仿宋_GB2312"/>
          <w:highlight w:val="yellow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>第十条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 xml:space="preserve"> 算力券发放的具体时间和要求，以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武汉市数据局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发布的通知为准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640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 w:bidi="ar"/>
        </w:rPr>
        <w:t>五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章 监督检查与绩效管理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640" w:firstLineChars="200"/>
        <w:jc w:val="both"/>
        <w:textAlignment w:val="auto"/>
        <w:rPr>
          <w:rFonts w:hint="default" w:ascii="方正黑体_GBK" w:hAnsi="方正黑体_GBK" w:eastAsia="仿宋_GB2312" w:cs="方正黑体_GBK"/>
          <w:color w:val="000000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第十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 w:bidi="ar"/>
        </w:rPr>
        <w:t>一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算力需求方和算力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供给方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应严格按照规定使用和兑现算力券，并自觉接受市数据局及其他有关部门的监督、检查和审计。对在算力券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发放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过程中通过弄虚作假、故意隐瞒等违法违规手段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包括但不限于骗取补贴、虚开发票、虚假使用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恶意骗取财政资金的，将依法依规追回算力券及已兑现资金。凡被查实存在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上述违法违规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行为的算力需求方或供给方，自查处之日起五年内禁止申领任何市级数字经济类补贴，并列入“武汉市失信主体名录”，在政府招投标、资质认定中予以限制。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>第十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eastAsia="zh-CN" w:bidi="ar"/>
        </w:rPr>
        <w:t>二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 xml:space="preserve">条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第三方服务机构对申报项目相关资料进行核查，每季度向市数据局书面报告算力券工作开展情况，并提交算力券兑现申请，提供相关审核依据、评审结论。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>第十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eastAsia="zh-CN" w:bidi="ar"/>
        </w:rPr>
        <w:t>三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>条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第三方服务机构、审计机构应严格遵守保密规定，与申报主体存在利益关联的应主动申请回避，发现问题应及时向市数据局报告。因工作失误或存在违法违纪行为导致财政资金损失的，应依照相关法律法规进行赔偿，并责令近3年不得参与市级算力券发放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eastAsia="zh-CN" w:bidi="ar"/>
        </w:rPr>
        <w:t>六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>章 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eastAsia="zh-CN" w:bidi="ar"/>
        </w:rPr>
        <w:t>十四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bidi="ar"/>
        </w:rPr>
        <w:t>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本办法由市数据局负责解释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自印发之日起施行，有效期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年。有效期内，若国家法律法规、规章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相关政策发生变化，本办法相应内容从其规定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若算力服务市场环境发生重大变化，本办法可做相应调整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。</w:t>
      </w:r>
    </w:p>
    <w:p/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05A29"/>
    <w:rsid w:val="6980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2026-07-01T13:28:00Z</dcterms:created>
  <dc:creator>Administrator</dc:creator>
  <cp:lastModifiedBy>Administrator</cp:lastModifiedBy>
  <dcterms:modified xsi:type="dcterms:W3CDTF">2026-07-01T13:28:35Z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